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A218" w14:textId="391C4C4E" w:rsidR="00D3234D" w:rsidRPr="00BD2699" w:rsidRDefault="008360FB" w:rsidP="00CA7F38">
      <w:pPr>
        <w:spacing w:after="0" w:line="240" w:lineRule="auto"/>
        <w:jc w:val="center"/>
        <w:rPr>
          <w:rFonts w:ascii="Times New Roman" w:hAnsi="Times New Roman" w:cs="Times New Roman"/>
          <w:b/>
          <w:sz w:val="24"/>
          <w:szCs w:val="24"/>
        </w:rPr>
      </w:pPr>
      <w:r w:rsidRPr="00BD2699">
        <w:rPr>
          <w:rFonts w:ascii="Times New Roman" w:hAnsi="Times New Roman" w:cs="Times New Roman"/>
          <w:b/>
          <w:sz w:val="24"/>
          <w:szCs w:val="24"/>
        </w:rPr>
        <w:t xml:space="preserve">Сравнительная таблица </w:t>
      </w:r>
    </w:p>
    <w:p w14:paraId="02578DE6" w14:textId="511E513C" w:rsidR="003905F2" w:rsidRPr="00BD2699" w:rsidRDefault="008360FB" w:rsidP="00CA7F38">
      <w:pPr>
        <w:spacing w:after="0" w:line="240" w:lineRule="auto"/>
        <w:jc w:val="center"/>
        <w:rPr>
          <w:rFonts w:ascii="Times New Roman" w:hAnsi="Times New Roman" w:cs="Times New Roman"/>
          <w:b/>
          <w:sz w:val="24"/>
          <w:szCs w:val="24"/>
        </w:rPr>
      </w:pPr>
      <w:r w:rsidRPr="00BD2699">
        <w:rPr>
          <w:rFonts w:ascii="Times New Roman" w:hAnsi="Times New Roman" w:cs="Times New Roman"/>
          <w:b/>
          <w:sz w:val="24"/>
          <w:szCs w:val="24"/>
        </w:rPr>
        <w:t xml:space="preserve">к </w:t>
      </w:r>
      <w:r w:rsidR="004912E1" w:rsidRPr="00BD2699">
        <w:rPr>
          <w:rFonts w:ascii="Times New Roman" w:hAnsi="Times New Roman" w:cs="Times New Roman"/>
          <w:b/>
          <w:sz w:val="24"/>
          <w:szCs w:val="24"/>
        </w:rPr>
        <w:t>приказу</w:t>
      </w:r>
      <w:r w:rsidR="003905F2" w:rsidRPr="00BD2699">
        <w:rPr>
          <w:rFonts w:ascii="Times New Roman" w:hAnsi="Times New Roman" w:cs="Times New Roman"/>
          <w:b/>
          <w:sz w:val="24"/>
          <w:szCs w:val="24"/>
        </w:rPr>
        <w:t xml:space="preserve"> </w:t>
      </w:r>
      <w:r w:rsidR="00F624D1" w:rsidRPr="00BD2699">
        <w:rPr>
          <w:rFonts w:ascii="Times New Roman" w:hAnsi="Times New Roman" w:cs="Times New Roman"/>
          <w:b/>
          <w:spacing w:val="2"/>
          <w:sz w:val="24"/>
          <w:szCs w:val="24"/>
        </w:rPr>
        <w:t>Заместителя Премьер-Министра – Министра финансов Республики Казахстан</w:t>
      </w:r>
      <w:r w:rsidR="003905F2" w:rsidRPr="00BD2699">
        <w:rPr>
          <w:rFonts w:ascii="Times New Roman" w:hAnsi="Times New Roman" w:cs="Times New Roman"/>
          <w:b/>
          <w:sz w:val="24"/>
          <w:szCs w:val="24"/>
        </w:rPr>
        <w:t xml:space="preserve"> </w:t>
      </w:r>
      <w:r w:rsidR="004912E1" w:rsidRPr="00BD2699">
        <w:rPr>
          <w:rFonts w:ascii="Times New Roman" w:hAnsi="Times New Roman" w:cs="Times New Roman"/>
          <w:b/>
          <w:sz w:val="24"/>
          <w:szCs w:val="24"/>
        </w:rPr>
        <w:t>от ______ 2023 года №___</w:t>
      </w:r>
    </w:p>
    <w:p w14:paraId="4B377259" w14:textId="4F480DD4" w:rsidR="00390E2B" w:rsidRPr="00BD2699" w:rsidRDefault="003905F2" w:rsidP="00CA7F38">
      <w:pPr>
        <w:spacing w:after="0" w:line="240" w:lineRule="auto"/>
        <w:jc w:val="center"/>
        <w:rPr>
          <w:rFonts w:ascii="Times New Roman" w:hAnsi="Times New Roman" w:cs="Times New Roman"/>
          <w:b/>
          <w:sz w:val="24"/>
          <w:szCs w:val="24"/>
        </w:rPr>
      </w:pPr>
      <w:r w:rsidRPr="00BD2699">
        <w:rPr>
          <w:rFonts w:ascii="Times New Roman" w:hAnsi="Times New Roman" w:cs="Times New Roman"/>
          <w:b/>
          <w:sz w:val="24"/>
          <w:szCs w:val="24"/>
        </w:rPr>
        <w:t xml:space="preserve">«О внесении </w:t>
      </w:r>
      <w:r w:rsidR="004A3879" w:rsidRPr="00BD2699">
        <w:rPr>
          <w:rFonts w:ascii="Times New Roman" w:hAnsi="Times New Roman" w:cs="Times New Roman"/>
          <w:b/>
          <w:sz w:val="24"/>
          <w:szCs w:val="24"/>
        </w:rPr>
        <w:t>изменений</w:t>
      </w:r>
      <w:r w:rsidR="008A4775" w:rsidRPr="00BD2699">
        <w:rPr>
          <w:rFonts w:ascii="Times New Roman" w:hAnsi="Times New Roman" w:cs="Times New Roman"/>
          <w:b/>
          <w:sz w:val="24"/>
          <w:szCs w:val="24"/>
        </w:rPr>
        <w:t xml:space="preserve"> и дополнений</w:t>
      </w:r>
      <w:r w:rsidR="004A3879" w:rsidRPr="00BD2699">
        <w:rPr>
          <w:rFonts w:ascii="Times New Roman" w:hAnsi="Times New Roman" w:cs="Times New Roman"/>
          <w:b/>
          <w:sz w:val="24"/>
          <w:szCs w:val="24"/>
        </w:rPr>
        <w:t xml:space="preserve"> </w:t>
      </w:r>
      <w:r w:rsidR="00C24239" w:rsidRPr="00BD2699">
        <w:rPr>
          <w:rFonts w:ascii="Times New Roman" w:hAnsi="Times New Roman" w:cs="Times New Roman"/>
          <w:b/>
          <w:sz w:val="24"/>
          <w:szCs w:val="24"/>
        </w:rPr>
        <w:t>в</w:t>
      </w:r>
      <w:r w:rsidRPr="00BD2699">
        <w:rPr>
          <w:rFonts w:ascii="Times New Roman" w:hAnsi="Times New Roman" w:cs="Times New Roman"/>
          <w:b/>
          <w:sz w:val="24"/>
          <w:szCs w:val="24"/>
        </w:rPr>
        <w:t xml:space="preserve"> приказ Министра финансов Республики Казахстан</w:t>
      </w:r>
      <w:r w:rsidR="00C24239" w:rsidRPr="00BD2699">
        <w:rPr>
          <w:rFonts w:ascii="Times New Roman" w:hAnsi="Times New Roman" w:cs="Times New Roman"/>
          <w:b/>
          <w:sz w:val="24"/>
          <w:szCs w:val="24"/>
        </w:rPr>
        <w:t xml:space="preserve"> от 11 декабря 2015 года № 648 </w:t>
      </w:r>
    </w:p>
    <w:p w14:paraId="244C2081" w14:textId="3FC387A4" w:rsidR="008360FB" w:rsidRPr="00BD2699" w:rsidRDefault="00C24239" w:rsidP="00CA7F38">
      <w:pPr>
        <w:spacing w:after="0" w:line="240" w:lineRule="auto"/>
        <w:jc w:val="center"/>
        <w:rPr>
          <w:rFonts w:ascii="Times New Roman" w:hAnsi="Times New Roman" w:cs="Times New Roman"/>
          <w:b/>
          <w:sz w:val="24"/>
          <w:szCs w:val="24"/>
        </w:rPr>
      </w:pPr>
      <w:r w:rsidRPr="00BD2699">
        <w:rPr>
          <w:rFonts w:ascii="Times New Roman" w:hAnsi="Times New Roman" w:cs="Times New Roman"/>
          <w:b/>
          <w:sz w:val="24"/>
          <w:szCs w:val="24"/>
        </w:rPr>
        <w:t>«Об утверждении Правил осуществления государственных закупок</w:t>
      </w:r>
      <w:r w:rsidR="003905F2" w:rsidRPr="00BD2699">
        <w:rPr>
          <w:rFonts w:ascii="Times New Roman" w:hAnsi="Times New Roman" w:cs="Times New Roman"/>
          <w:b/>
          <w:sz w:val="24"/>
          <w:szCs w:val="24"/>
        </w:rPr>
        <w:t xml:space="preserve">» </w:t>
      </w:r>
    </w:p>
    <w:p w14:paraId="2571AA3B" w14:textId="77777777" w:rsidR="00C24239" w:rsidRPr="00BD2699" w:rsidRDefault="00C24239" w:rsidP="00CA7F38">
      <w:pPr>
        <w:spacing w:after="0" w:line="240" w:lineRule="auto"/>
        <w:jc w:val="center"/>
        <w:rPr>
          <w:rFonts w:ascii="Times New Roman" w:hAnsi="Times New Roman" w:cs="Times New Roman"/>
          <w:b/>
          <w:sz w:val="24"/>
          <w:szCs w:val="24"/>
        </w:rPr>
      </w:pPr>
    </w:p>
    <w:tbl>
      <w:tblPr>
        <w:tblStyle w:val="a3"/>
        <w:tblW w:w="15469" w:type="dxa"/>
        <w:tblInd w:w="-147" w:type="dxa"/>
        <w:tblLayout w:type="fixed"/>
        <w:tblLook w:val="04A0" w:firstRow="1" w:lastRow="0" w:firstColumn="1" w:lastColumn="0" w:noHBand="0" w:noVBand="1"/>
      </w:tblPr>
      <w:tblGrid>
        <w:gridCol w:w="605"/>
        <w:gridCol w:w="1391"/>
        <w:gridCol w:w="4950"/>
        <w:gridCol w:w="5245"/>
        <w:gridCol w:w="3260"/>
        <w:gridCol w:w="18"/>
      </w:tblGrid>
      <w:tr w:rsidR="00CA7F38" w:rsidRPr="00BD2699" w14:paraId="3C1C578A" w14:textId="77777777" w:rsidTr="007D6304">
        <w:trPr>
          <w:gridAfter w:val="1"/>
          <w:wAfter w:w="18" w:type="dxa"/>
        </w:trPr>
        <w:tc>
          <w:tcPr>
            <w:tcW w:w="605" w:type="dxa"/>
            <w:shd w:val="clear" w:color="auto" w:fill="auto"/>
          </w:tcPr>
          <w:p w14:paraId="1787A7AB" w14:textId="77777777" w:rsidR="008360FB" w:rsidRPr="00BD2699" w:rsidRDefault="008360FB" w:rsidP="00CA7F38">
            <w:pPr>
              <w:ind w:left="-113"/>
              <w:jc w:val="center"/>
              <w:rPr>
                <w:rFonts w:ascii="Times New Roman" w:hAnsi="Times New Roman" w:cs="Times New Roman"/>
                <w:b/>
                <w:sz w:val="24"/>
                <w:szCs w:val="24"/>
              </w:rPr>
            </w:pPr>
            <w:r w:rsidRPr="00BD2699">
              <w:rPr>
                <w:rFonts w:ascii="Times New Roman" w:hAnsi="Times New Roman" w:cs="Times New Roman"/>
                <w:b/>
                <w:sz w:val="24"/>
                <w:szCs w:val="24"/>
              </w:rPr>
              <w:t>№</w:t>
            </w:r>
          </w:p>
        </w:tc>
        <w:tc>
          <w:tcPr>
            <w:tcW w:w="1391" w:type="dxa"/>
            <w:shd w:val="clear" w:color="auto" w:fill="auto"/>
          </w:tcPr>
          <w:p w14:paraId="4A380471" w14:textId="775C4830" w:rsidR="008360FB" w:rsidRPr="00BD2699" w:rsidRDefault="004912E1" w:rsidP="00CA7F38">
            <w:pPr>
              <w:jc w:val="center"/>
              <w:rPr>
                <w:rFonts w:ascii="Times New Roman" w:hAnsi="Times New Roman" w:cs="Times New Roman"/>
                <w:b/>
                <w:sz w:val="24"/>
                <w:szCs w:val="24"/>
              </w:rPr>
            </w:pPr>
            <w:r w:rsidRPr="00BD2699">
              <w:rPr>
                <w:rFonts w:ascii="Times New Roman" w:hAnsi="Times New Roman" w:cs="Times New Roman"/>
                <w:b/>
                <w:sz w:val="24"/>
                <w:szCs w:val="24"/>
              </w:rPr>
              <w:t>Структурный элемент</w:t>
            </w:r>
          </w:p>
        </w:tc>
        <w:tc>
          <w:tcPr>
            <w:tcW w:w="4950" w:type="dxa"/>
            <w:shd w:val="clear" w:color="auto" w:fill="auto"/>
          </w:tcPr>
          <w:p w14:paraId="620F3B2A" w14:textId="77777777" w:rsidR="008360FB" w:rsidRPr="00BD2699" w:rsidRDefault="008360FB" w:rsidP="00CA7F38">
            <w:pPr>
              <w:jc w:val="center"/>
              <w:rPr>
                <w:rFonts w:ascii="Times New Roman" w:hAnsi="Times New Roman" w:cs="Times New Roman"/>
                <w:b/>
                <w:sz w:val="24"/>
                <w:szCs w:val="24"/>
              </w:rPr>
            </w:pPr>
            <w:r w:rsidRPr="00BD2699">
              <w:rPr>
                <w:rFonts w:ascii="Times New Roman" w:hAnsi="Times New Roman" w:cs="Times New Roman"/>
                <w:b/>
                <w:sz w:val="24"/>
                <w:szCs w:val="24"/>
              </w:rPr>
              <w:t>Действующая редакция</w:t>
            </w:r>
          </w:p>
        </w:tc>
        <w:tc>
          <w:tcPr>
            <w:tcW w:w="5245" w:type="dxa"/>
            <w:shd w:val="clear" w:color="auto" w:fill="auto"/>
          </w:tcPr>
          <w:p w14:paraId="7D5DAB79" w14:textId="77777777" w:rsidR="008360FB" w:rsidRPr="00BD2699" w:rsidRDefault="008360FB" w:rsidP="00CA7F38">
            <w:pPr>
              <w:jc w:val="center"/>
              <w:rPr>
                <w:rFonts w:ascii="Times New Roman" w:hAnsi="Times New Roman" w:cs="Times New Roman"/>
                <w:b/>
                <w:sz w:val="24"/>
                <w:szCs w:val="24"/>
              </w:rPr>
            </w:pPr>
            <w:r w:rsidRPr="00BD2699">
              <w:rPr>
                <w:rFonts w:ascii="Times New Roman" w:hAnsi="Times New Roman" w:cs="Times New Roman"/>
                <w:b/>
                <w:sz w:val="24"/>
                <w:szCs w:val="24"/>
              </w:rPr>
              <w:t>Предлагаемая редакция</w:t>
            </w:r>
          </w:p>
        </w:tc>
        <w:tc>
          <w:tcPr>
            <w:tcW w:w="3260" w:type="dxa"/>
            <w:shd w:val="clear" w:color="auto" w:fill="auto"/>
          </w:tcPr>
          <w:p w14:paraId="0D882C68" w14:textId="77777777" w:rsidR="008360FB" w:rsidRPr="00BD2699" w:rsidRDefault="008360FB" w:rsidP="00CA7F38">
            <w:pPr>
              <w:ind w:right="367"/>
              <w:jc w:val="center"/>
              <w:rPr>
                <w:rFonts w:ascii="Times New Roman" w:hAnsi="Times New Roman" w:cs="Times New Roman"/>
                <w:b/>
                <w:sz w:val="24"/>
                <w:szCs w:val="24"/>
              </w:rPr>
            </w:pPr>
            <w:r w:rsidRPr="00BD2699">
              <w:rPr>
                <w:rFonts w:ascii="Times New Roman" w:hAnsi="Times New Roman" w:cs="Times New Roman"/>
                <w:b/>
                <w:sz w:val="24"/>
                <w:szCs w:val="24"/>
              </w:rPr>
              <w:t>Обоснование</w:t>
            </w:r>
          </w:p>
        </w:tc>
      </w:tr>
      <w:tr w:rsidR="00CA7F38" w:rsidRPr="00BD2699" w14:paraId="78839503" w14:textId="77777777" w:rsidTr="00967119">
        <w:tc>
          <w:tcPr>
            <w:tcW w:w="15469" w:type="dxa"/>
            <w:gridSpan w:val="6"/>
            <w:shd w:val="clear" w:color="auto" w:fill="auto"/>
          </w:tcPr>
          <w:p w14:paraId="26572718" w14:textId="24F9927B" w:rsidR="00FE53F6" w:rsidRPr="00BD2699" w:rsidRDefault="00FE53F6" w:rsidP="00CA7F38">
            <w:pPr>
              <w:ind w:left="-113"/>
              <w:jc w:val="center"/>
              <w:rPr>
                <w:rFonts w:ascii="Times New Roman" w:hAnsi="Times New Roman" w:cs="Times New Roman"/>
                <w:b/>
                <w:sz w:val="24"/>
                <w:szCs w:val="24"/>
              </w:rPr>
            </w:pPr>
            <w:r w:rsidRPr="00BD2699">
              <w:rPr>
                <w:rFonts w:ascii="Times New Roman" w:hAnsi="Times New Roman" w:cs="Times New Roman"/>
                <w:b/>
                <w:sz w:val="24"/>
                <w:szCs w:val="24"/>
              </w:rPr>
              <w:t>Правила осуществления государственных закупок</w:t>
            </w:r>
            <w:r w:rsidR="00AB2558" w:rsidRPr="00BD2699">
              <w:rPr>
                <w:rFonts w:ascii="Times New Roman" w:hAnsi="Times New Roman" w:cs="Times New Roman"/>
                <w:b/>
                <w:sz w:val="24"/>
                <w:szCs w:val="24"/>
              </w:rPr>
              <w:t xml:space="preserve"> </w:t>
            </w:r>
          </w:p>
        </w:tc>
      </w:tr>
      <w:tr w:rsidR="0017460F" w:rsidRPr="00BD2699" w14:paraId="03C0282F" w14:textId="77777777" w:rsidTr="007D6304">
        <w:trPr>
          <w:gridAfter w:val="1"/>
          <w:wAfter w:w="18" w:type="dxa"/>
          <w:trHeight w:val="407"/>
        </w:trPr>
        <w:tc>
          <w:tcPr>
            <w:tcW w:w="605" w:type="dxa"/>
            <w:shd w:val="clear" w:color="auto" w:fill="auto"/>
          </w:tcPr>
          <w:p w14:paraId="06569A80" w14:textId="77777777" w:rsidR="0017460F" w:rsidRPr="00BD2699" w:rsidRDefault="0017460F" w:rsidP="00CA7F38">
            <w:pPr>
              <w:pStyle w:val="af0"/>
              <w:numPr>
                <w:ilvl w:val="0"/>
                <w:numId w:val="3"/>
              </w:numPr>
              <w:jc w:val="both"/>
              <w:rPr>
                <w:rFonts w:ascii="Times New Roman" w:hAnsi="Times New Roman" w:cs="Times New Roman"/>
                <w:sz w:val="24"/>
                <w:szCs w:val="24"/>
              </w:rPr>
            </w:pPr>
          </w:p>
        </w:tc>
        <w:tc>
          <w:tcPr>
            <w:tcW w:w="1391" w:type="dxa"/>
            <w:shd w:val="clear" w:color="auto" w:fill="auto"/>
          </w:tcPr>
          <w:p w14:paraId="3AA19610" w14:textId="77777777" w:rsidR="0017460F" w:rsidRPr="00BD2699" w:rsidRDefault="0017460F" w:rsidP="0017460F">
            <w:pPr>
              <w:jc w:val="center"/>
              <w:rPr>
                <w:rFonts w:ascii="Times New Roman" w:hAnsi="Times New Roman" w:cs="Times New Roman"/>
                <w:color w:val="000000" w:themeColor="text1"/>
                <w:sz w:val="24"/>
                <w:szCs w:val="24"/>
              </w:rPr>
            </w:pPr>
            <w:r w:rsidRPr="00BD2699">
              <w:rPr>
                <w:rFonts w:ascii="Times New Roman" w:hAnsi="Times New Roman" w:cs="Times New Roman"/>
                <w:color w:val="000000" w:themeColor="text1"/>
                <w:sz w:val="24"/>
                <w:szCs w:val="24"/>
              </w:rPr>
              <w:t xml:space="preserve">подпункт 1) </w:t>
            </w:r>
          </w:p>
          <w:p w14:paraId="4371D89F" w14:textId="6406B316" w:rsidR="0017460F" w:rsidRPr="00BD2699" w:rsidRDefault="0017460F" w:rsidP="0017460F">
            <w:pPr>
              <w:jc w:val="center"/>
              <w:rPr>
                <w:rFonts w:ascii="Times New Roman" w:hAnsi="Times New Roman" w:cs="Times New Roman"/>
                <w:sz w:val="24"/>
                <w:szCs w:val="24"/>
              </w:rPr>
            </w:pPr>
            <w:r w:rsidRPr="00BD2699">
              <w:rPr>
                <w:rFonts w:ascii="Times New Roman" w:hAnsi="Times New Roman" w:cs="Times New Roman"/>
                <w:color w:val="000000" w:themeColor="text1"/>
                <w:sz w:val="24"/>
                <w:szCs w:val="24"/>
              </w:rPr>
              <w:t>пункта 3 Правил</w:t>
            </w:r>
          </w:p>
        </w:tc>
        <w:tc>
          <w:tcPr>
            <w:tcW w:w="4950" w:type="dxa"/>
            <w:shd w:val="clear" w:color="auto" w:fill="auto"/>
          </w:tcPr>
          <w:p w14:paraId="0604BFB4" w14:textId="77777777" w:rsidR="0017460F" w:rsidRPr="00BD2699" w:rsidRDefault="0017460F" w:rsidP="0017460F">
            <w:pPr>
              <w:ind w:firstLine="446"/>
              <w:jc w:val="both"/>
              <w:rPr>
                <w:rFonts w:ascii="Times New Roman" w:hAnsi="Times New Roman" w:cs="Times New Roman"/>
                <w:color w:val="000000" w:themeColor="text1"/>
                <w:spacing w:val="2"/>
                <w:sz w:val="24"/>
                <w:szCs w:val="24"/>
              </w:rPr>
            </w:pPr>
            <w:r w:rsidRPr="00BD2699">
              <w:rPr>
                <w:rFonts w:ascii="Times New Roman" w:hAnsi="Times New Roman" w:cs="Times New Roman"/>
                <w:color w:val="000000" w:themeColor="text1"/>
                <w:spacing w:val="2"/>
                <w:sz w:val="24"/>
                <w:szCs w:val="24"/>
              </w:rPr>
              <w:t>3. В настоящих Правилах используются следующие понятия:</w:t>
            </w:r>
          </w:p>
          <w:p w14:paraId="0190277A" w14:textId="7F3B1329" w:rsidR="0017460F" w:rsidRPr="00BD2699" w:rsidRDefault="0017460F" w:rsidP="0017460F">
            <w:pPr>
              <w:ind w:firstLine="446"/>
              <w:jc w:val="both"/>
              <w:rPr>
                <w:rFonts w:ascii="Times New Roman" w:hAnsi="Times New Roman" w:cs="Times New Roman"/>
                <w:spacing w:val="2"/>
                <w:sz w:val="24"/>
                <w:szCs w:val="24"/>
              </w:rPr>
            </w:pPr>
            <w:r w:rsidRPr="00BD2699">
              <w:rPr>
                <w:rFonts w:ascii="Times New Roman" w:hAnsi="Times New Roman" w:cs="Times New Roman"/>
                <w:color w:val="000000" w:themeColor="text1"/>
                <w:spacing w:val="2"/>
                <w:sz w:val="24"/>
                <w:szCs w:val="24"/>
              </w:rPr>
              <w:t>1) показатель финансовой устойчивости потенциального поставщика – совокупность показателей по доходам, уплаченным налогам и фонду оплаты труда потенциального поставщика, определяемая веб-порталом автоматически согласно данным информационных систем органов государственных доходов, применяемый в порядке, определенном пунктом 293 настоящих Правил;</w:t>
            </w:r>
          </w:p>
        </w:tc>
        <w:tc>
          <w:tcPr>
            <w:tcW w:w="5245" w:type="dxa"/>
            <w:shd w:val="clear" w:color="auto" w:fill="auto"/>
          </w:tcPr>
          <w:p w14:paraId="29F2EBCC" w14:textId="77777777" w:rsidR="0017460F" w:rsidRPr="00BD2699" w:rsidRDefault="0017460F" w:rsidP="0017460F">
            <w:pPr>
              <w:ind w:firstLine="446"/>
              <w:jc w:val="both"/>
              <w:rPr>
                <w:rFonts w:ascii="Times New Roman" w:hAnsi="Times New Roman" w:cs="Times New Roman"/>
                <w:color w:val="000000" w:themeColor="text1"/>
                <w:spacing w:val="2"/>
                <w:sz w:val="24"/>
                <w:szCs w:val="24"/>
              </w:rPr>
            </w:pPr>
            <w:r w:rsidRPr="00BD2699">
              <w:rPr>
                <w:rFonts w:ascii="Times New Roman" w:hAnsi="Times New Roman" w:cs="Times New Roman"/>
                <w:color w:val="000000" w:themeColor="text1"/>
                <w:spacing w:val="2"/>
                <w:sz w:val="24"/>
                <w:szCs w:val="24"/>
              </w:rPr>
              <w:t>3. В настоящих Правилах используются следующие понятия:</w:t>
            </w:r>
          </w:p>
          <w:p w14:paraId="12473363" w14:textId="674CC2DB" w:rsidR="0017460F" w:rsidRPr="00BD2699" w:rsidRDefault="0017460F" w:rsidP="0017460F">
            <w:pPr>
              <w:ind w:firstLine="446"/>
              <w:jc w:val="both"/>
              <w:rPr>
                <w:rFonts w:ascii="Times New Roman" w:hAnsi="Times New Roman" w:cs="Times New Roman"/>
                <w:spacing w:val="2"/>
                <w:sz w:val="24"/>
                <w:szCs w:val="24"/>
              </w:rPr>
            </w:pPr>
            <w:r w:rsidRPr="00BD2699">
              <w:rPr>
                <w:rFonts w:ascii="Times New Roman" w:hAnsi="Times New Roman" w:cs="Times New Roman"/>
                <w:color w:val="000000" w:themeColor="text1"/>
                <w:spacing w:val="2"/>
                <w:sz w:val="24"/>
                <w:szCs w:val="24"/>
              </w:rPr>
              <w:t xml:space="preserve">1) показатель финансовой устойчивости потенциального поставщика – совокупность показателей по доходам, уплаченным налогам и фонду оплаты труда потенциального поставщика, определяемая веб-порталом автоматически согласно данным информационных систем органов государственных доходов </w:t>
            </w:r>
            <w:r w:rsidRPr="00BD2699">
              <w:rPr>
                <w:rFonts w:ascii="Times New Roman" w:hAnsi="Times New Roman" w:cs="Times New Roman"/>
                <w:b/>
                <w:sz w:val="24"/>
                <w:szCs w:val="24"/>
              </w:rPr>
              <w:t>или соответствующего уполномоченного органа потенциального поставщика-нерезидента Республики Казахстан, полученных путем интеграции в соответствии с законодательством Республики Казахстан в области информатизации (далее - органы государственных доходов)</w:t>
            </w:r>
            <w:r w:rsidRPr="00BD2699">
              <w:rPr>
                <w:rFonts w:ascii="Times New Roman" w:hAnsi="Times New Roman" w:cs="Times New Roman"/>
                <w:color w:val="000000" w:themeColor="text1"/>
                <w:spacing w:val="2"/>
                <w:sz w:val="24"/>
                <w:szCs w:val="24"/>
              </w:rPr>
              <w:t>, применяемый в порядке, определенном пунктом 293 настоящих Правил;</w:t>
            </w:r>
          </w:p>
        </w:tc>
        <w:tc>
          <w:tcPr>
            <w:tcW w:w="3260" w:type="dxa"/>
            <w:shd w:val="clear" w:color="auto" w:fill="auto"/>
          </w:tcPr>
          <w:p w14:paraId="508B1C0E" w14:textId="5E6F2AD7" w:rsidR="0017460F" w:rsidRPr="00BD2699" w:rsidRDefault="0017460F" w:rsidP="00B77954">
            <w:pPr>
              <w:ind w:firstLine="446"/>
              <w:jc w:val="both"/>
              <w:rPr>
                <w:rFonts w:ascii="Times New Roman" w:hAnsi="Times New Roman" w:cs="Times New Roman"/>
                <w:spacing w:val="2"/>
                <w:sz w:val="24"/>
                <w:szCs w:val="24"/>
              </w:rPr>
            </w:pPr>
            <w:r w:rsidRPr="00BD2699">
              <w:rPr>
                <w:rFonts w:ascii="Times New Roman" w:eastAsia="Times New Roman" w:hAnsi="Times New Roman" w:cs="Times New Roman"/>
                <w:color w:val="000000" w:themeColor="text1"/>
                <w:sz w:val="24"/>
                <w:szCs w:val="24"/>
                <w:lang w:eastAsia="ru-RU"/>
              </w:rPr>
              <w:t>В целях исполнения международных обязательств Республики Казахстан на внутреннем рынке Евразийского экономического союза (далее – ЕАЭС) по устранению препятствий на внутреннем рынке ЕАЭС, исходя из необходимости недопущения возникновения барьеров, а также максимального сокращения изъятий и ограничений, а также предоставления потенциальным поставщикам Республики Казахстан и потенциальным поставщикам-нерезидентам Республики Казахстан равных возможностей для участия в процедурах проведения государственных закупок.</w:t>
            </w:r>
          </w:p>
        </w:tc>
      </w:tr>
      <w:tr w:rsidR="00CA7F38" w:rsidRPr="00BD2699" w14:paraId="3E7083D4" w14:textId="77777777" w:rsidTr="007D6304">
        <w:trPr>
          <w:gridAfter w:val="1"/>
          <w:wAfter w:w="18" w:type="dxa"/>
          <w:trHeight w:val="407"/>
        </w:trPr>
        <w:tc>
          <w:tcPr>
            <w:tcW w:w="605" w:type="dxa"/>
            <w:shd w:val="clear" w:color="auto" w:fill="auto"/>
          </w:tcPr>
          <w:p w14:paraId="73EF9954" w14:textId="77777777" w:rsidR="00926409" w:rsidRPr="00BD2699" w:rsidRDefault="00926409" w:rsidP="00CA7F38">
            <w:pPr>
              <w:pStyle w:val="af0"/>
              <w:numPr>
                <w:ilvl w:val="0"/>
                <w:numId w:val="3"/>
              </w:numPr>
              <w:jc w:val="both"/>
              <w:rPr>
                <w:rFonts w:ascii="Times New Roman" w:hAnsi="Times New Roman" w:cs="Times New Roman"/>
                <w:sz w:val="24"/>
                <w:szCs w:val="24"/>
              </w:rPr>
            </w:pPr>
          </w:p>
        </w:tc>
        <w:tc>
          <w:tcPr>
            <w:tcW w:w="1391" w:type="dxa"/>
            <w:shd w:val="clear" w:color="auto" w:fill="auto"/>
          </w:tcPr>
          <w:p w14:paraId="49DA1756" w14:textId="3031EE74" w:rsidR="00926409" w:rsidRPr="00BD2699" w:rsidRDefault="004912E1" w:rsidP="00CA7F38">
            <w:pPr>
              <w:jc w:val="center"/>
              <w:rPr>
                <w:rFonts w:ascii="Times New Roman" w:hAnsi="Times New Roman" w:cs="Times New Roman"/>
                <w:sz w:val="24"/>
                <w:szCs w:val="24"/>
              </w:rPr>
            </w:pPr>
            <w:r w:rsidRPr="00BD2699">
              <w:rPr>
                <w:rFonts w:ascii="Times New Roman" w:hAnsi="Times New Roman" w:cs="Times New Roman"/>
                <w:sz w:val="24"/>
                <w:szCs w:val="24"/>
              </w:rPr>
              <w:t>п</w:t>
            </w:r>
            <w:r w:rsidR="00926409" w:rsidRPr="00BD2699">
              <w:rPr>
                <w:rFonts w:ascii="Times New Roman" w:hAnsi="Times New Roman" w:cs="Times New Roman"/>
                <w:sz w:val="24"/>
                <w:szCs w:val="24"/>
              </w:rPr>
              <w:t xml:space="preserve">ункт 73 Правил </w:t>
            </w:r>
          </w:p>
        </w:tc>
        <w:tc>
          <w:tcPr>
            <w:tcW w:w="4950" w:type="dxa"/>
            <w:shd w:val="clear" w:color="auto" w:fill="auto"/>
          </w:tcPr>
          <w:p w14:paraId="4EBE26C4" w14:textId="1E15A66B" w:rsidR="00926409" w:rsidRPr="00BD2699" w:rsidRDefault="00DF349E" w:rsidP="00CA7F38">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73. Цена заявки на участие в конкурсе потенциального поставщика на работы признается демпинговой в случае, если она ниже цены, указанной в технико-</w:t>
            </w:r>
            <w:r w:rsidRPr="00BD2699">
              <w:rPr>
                <w:rFonts w:ascii="Times New Roman" w:hAnsi="Times New Roman" w:cs="Times New Roman"/>
                <w:spacing w:val="2"/>
                <w:sz w:val="24"/>
                <w:szCs w:val="24"/>
              </w:rPr>
              <w:lastRenderedPageBreak/>
              <w:t xml:space="preserve">экономическом обосновании (для разработки проектно-сметной документации) и проектно-сметной документации, прошедшей экспертизу в соответствии с законодательством Республики Казахстан, </w:t>
            </w:r>
            <w:r w:rsidRPr="00BD2699">
              <w:rPr>
                <w:rFonts w:ascii="Times New Roman" w:hAnsi="Times New Roman" w:cs="Times New Roman"/>
                <w:b/>
                <w:spacing w:val="2"/>
                <w:sz w:val="24"/>
                <w:szCs w:val="24"/>
              </w:rPr>
              <w:t>(технической документации, предназначенной для среднего ремонта существующих автомобильных дорог общего пользования),</w:t>
            </w:r>
            <w:r w:rsidRPr="00BD2699">
              <w:rPr>
                <w:rFonts w:ascii="Times New Roman" w:hAnsi="Times New Roman" w:cs="Times New Roman"/>
                <w:spacing w:val="2"/>
                <w:sz w:val="24"/>
                <w:szCs w:val="24"/>
              </w:rPr>
              <w:t xml:space="preserve"> более чем на </w:t>
            </w:r>
            <w:r w:rsidRPr="00BD2699">
              <w:rPr>
                <w:rFonts w:ascii="Times New Roman" w:hAnsi="Times New Roman" w:cs="Times New Roman"/>
                <w:b/>
                <w:spacing w:val="2"/>
                <w:sz w:val="24"/>
                <w:szCs w:val="24"/>
              </w:rPr>
              <w:t>пять</w:t>
            </w:r>
            <w:r w:rsidRPr="00BD2699">
              <w:rPr>
                <w:rFonts w:ascii="Times New Roman" w:hAnsi="Times New Roman" w:cs="Times New Roman"/>
                <w:spacing w:val="2"/>
                <w:sz w:val="24"/>
                <w:szCs w:val="24"/>
              </w:rPr>
              <w:t xml:space="preserve"> процентов.</w:t>
            </w:r>
          </w:p>
        </w:tc>
        <w:tc>
          <w:tcPr>
            <w:tcW w:w="5245" w:type="dxa"/>
            <w:shd w:val="clear" w:color="auto" w:fill="auto"/>
          </w:tcPr>
          <w:p w14:paraId="6FE215F3" w14:textId="393011D9" w:rsidR="008A257A" w:rsidRPr="00BD2699" w:rsidRDefault="0005703A" w:rsidP="0005703A">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lastRenderedPageBreak/>
              <w:t>73. Цена заявки на участие в конкурсе потенциального поставщика на работы признается демпинговой в случае, если она ниже цены, указанной в технико-</w:t>
            </w:r>
            <w:r w:rsidRPr="00BD2699">
              <w:rPr>
                <w:rFonts w:ascii="Times New Roman" w:hAnsi="Times New Roman" w:cs="Times New Roman"/>
                <w:spacing w:val="2"/>
                <w:sz w:val="24"/>
                <w:szCs w:val="24"/>
              </w:rPr>
              <w:lastRenderedPageBreak/>
              <w:t xml:space="preserve">экономическом обосновании (для разработки проектно-сметной документации) и проектно-сметной документации, прошедшей экспертизу в соответствии с законодательством Республики Казахстан более чем </w:t>
            </w:r>
            <w:r w:rsidRPr="00BD2699">
              <w:rPr>
                <w:rFonts w:ascii="Times New Roman" w:hAnsi="Times New Roman" w:cs="Times New Roman"/>
                <w:b/>
                <w:spacing w:val="2"/>
                <w:sz w:val="24"/>
                <w:szCs w:val="24"/>
              </w:rPr>
              <w:t>на три процента.</w:t>
            </w:r>
          </w:p>
        </w:tc>
        <w:tc>
          <w:tcPr>
            <w:tcW w:w="3260" w:type="dxa"/>
            <w:shd w:val="clear" w:color="auto" w:fill="auto"/>
          </w:tcPr>
          <w:p w14:paraId="4F7108EE" w14:textId="6B645C61" w:rsidR="00EC1DAD" w:rsidRPr="00BD2699" w:rsidRDefault="0005703A" w:rsidP="0005703A">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lastRenderedPageBreak/>
              <w:t>В соответствии с предложениями НПП «</w:t>
            </w:r>
            <w:proofErr w:type="spellStart"/>
            <w:r w:rsidRPr="00BD2699">
              <w:rPr>
                <w:rFonts w:ascii="Times New Roman" w:hAnsi="Times New Roman" w:cs="Times New Roman"/>
                <w:spacing w:val="2"/>
                <w:sz w:val="24"/>
                <w:szCs w:val="24"/>
              </w:rPr>
              <w:t>Атамекен</w:t>
            </w:r>
            <w:proofErr w:type="spellEnd"/>
            <w:r w:rsidRPr="00BD2699">
              <w:rPr>
                <w:rFonts w:ascii="Times New Roman" w:hAnsi="Times New Roman" w:cs="Times New Roman"/>
                <w:spacing w:val="2"/>
                <w:sz w:val="24"/>
                <w:szCs w:val="24"/>
              </w:rPr>
              <w:t xml:space="preserve">» и </w:t>
            </w:r>
            <w:r w:rsidRPr="00BD2699">
              <w:rPr>
                <w:rFonts w:ascii="Times New Roman" w:eastAsia="Times New Roman" w:hAnsi="Times New Roman" w:cs="Times New Roman"/>
                <w:sz w:val="24"/>
                <w:szCs w:val="24"/>
                <w:lang w:eastAsia="ru-RU"/>
              </w:rPr>
              <w:t xml:space="preserve">Комитета по делам строительства и </w:t>
            </w:r>
            <w:r w:rsidRPr="00BD2699">
              <w:rPr>
                <w:rFonts w:ascii="Times New Roman" w:eastAsia="Times New Roman" w:hAnsi="Times New Roman" w:cs="Times New Roman"/>
                <w:sz w:val="24"/>
                <w:szCs w:val="24"/>
                <w:lang w:eastAsia="ru-RU"/>
              </w:rPr>
              <w:lastRenderedPageBreak/>
              <w:t xml:space="preserve">жилищно-коммунального хозяйства МИИР РК, предлагается </w:t>
            </w:r>
            <w:r w:rsidR="00EC1DAD" w:rsidRPr="00BD2699">
              <w:rPr>
                <w:rFonts w:ascii="Times New Roman" w:hAnsi="Times New Roman" w:cs="Times New Roman"/>
                <w:spacing w:val="2"/>
                <w:sz w:val="24"/>
                <w:szCs w:val="24"/>
              </w:rPr>
              <w:t>снижени</w:t>
            </w:r>
            <w:r w:rsidRPr="00BD2699">
              <w:rPr>
                <w:rFonts w:ascii="Times New Roman" w:hAnsi="Times New Roman" w:cs="Times New Roman"/>
                <w:spacing w:val="2"/>
                <w:sz w:val="24"/>
                <w:szCs w:val="24"/>
              </w:rPr>
              <w:t>е минимального порогового значения демпинга.</w:t>
            </w:r>
            <w:r w:rsidR="00EC1DAD" w:rsidRPr="00BD2699">
              <w:rPr>
                <w:rFonts w:ascii="Times New Roman" w:hAnsi="Times New Roman" w:cs="Times New Roman"/>
                <w:spacing w:val="2"/>
                <w:sz w:val="24"/>
                <w:szCs w:val="24"/>
              </w:rPr>
              <w:t xml:space="preserve"> </w:t>
            </w:r>
          </w:p>
        </w:tc>
      </w:tr>
      <w:tr w:rsidR="0005703A" w:rsidRPr="00BD2699" w14:paraId="6E09082F" w14:textId="77777777" w:rsidTr="007D6304">
        <w:trPr>
          <w:gridAfter w:val="1"/>
          <w:wAfter w:w="18" w:type="dxa"/>
          <w:trHeight w:val="407"/>
        </w:trPr>
        <w:tc>
          <w:tcPr>
            <w:tcW w:w="605" w:type="dxa"/>
            <w:shd w:val="clear" w:color="auto" w:fill="auto"/>
          </w:tcPr>
          <w:p w14:paraId="3C26028C" w14:textId="77777777" w:rsidR="0005703A" w:rsidRPr="00BD2699" w:rsidRDefault="0005703A"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193C85A3" w14:textId="229F1B77"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Пункт 73-1</w:t>
            </w:r>
          </w:p>
        </w:tc>
        <w:tc>
          <w:tcPr>
            <w:tcW w:w="4950" w:type="dxa"/>
            <w:shd w:val="clear" w:color="auto" w:fill="auto"/>
          </w:tcPr>
          <w:p w14:paraId="41DF6A59" w14:textId="23AD5EE6" w:rsidR="0005703A" w:rsidRPr="00BD2699" w:rsidRDefault="0005703A" w:rsidP="0005703A">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73-1. Отсутствует.</w:t>
            </w:r>
          </w:p>
        </w:tc>
        <w:tc>
          <w:tcPr>
            <w:tcW w:w="5245" w:type="dxa"/>
            <w:shd w:val="clear" w:color="auto" w:fill="auto"/>
          </w:tcPr>
          <w:p w14:paraId="32FFB1A6" w14:textId="4B9AF2E9" w:rsidR="0005703A" w:rsidRPr="00BD2699" w:rsidRDefault="0005703A" w:rsidP="0005703A">
            <w:pPr>
              <w:ind w:firstLine="446"/>
              <w:jc w:val="both"/>
              <w:rPr>
                <w:rFonts w:ascii="Times New Roman" w:hAnsi="Times New Roman" w:cs="Times New Roman"/>
                <w:b/>
                <w:spacing w:val="2"/>
                <w:sz w:val="24"/>
                <w:szCs w:val="24"/>
              </w:rPr>
            </w:pPr>
            <w:r w:rsidRPr="00BD2699">
              <w:rPr>
                <w:rFonts w:ascii="Times New Roman" w:hAnsi="Times New Roman" w:cs="Times New Roman"/>
                <w:b/>
                <w:spacing w:val="2"/>
                <w:sz w:val="24"/>
                <w:szCs w:val="24"/>
              </w:rPr>
              <w:t>73-1. Цена заявки на участие в конкурсе потенциального поставщика на работы по среднему ремонту автомобильных дорог признается демпинговой в случае, если она ниже цены, указанной технической документации, более чем на пять процентов.</w:t>
            </w:r>
          </w:p>
        </w:tc>
        <w:tc>
          <w:tcPr>
            <w:tcW w:w="3260" w:type="dxa"/>
            <w:shd w:val="clear" w:color="auto" w:fill="auto"/>
          </w:tcPr>
          <w:p w14:paraId="17C3067D" w14:textId="77777777" w:rsidR="0005703A" w:rsidRPr="00BD2699" w:rsidRDefault="0005703A" w:rsidP="0005703A">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 xml:space="preserve">В целях повышения качества, а также исключения фактов предоставления заниженных цен предлагается в закупках по среднему ремонту </w:t>
            </w:r>
            <w:r w:rsidRPr="00BD2699">
              <w:rPr>
                <w:rFonts w:ascii="Times New Roman" w:hAnsi="Times New Roman" w:cs="Times New Roman"/>
                <w:spacing w:val="2"/>
                <w:sz w:val="24"/>
                <w:szCs w:val="24"/>
                <w:lang w:val="kk-KZ"/>
              </w:rPr>
              <w:t xml:space="preserve">автомобильных </w:t>
            </w:r>
            <w:r w:rsidRPr="00BD2699">
              <w:rPr>
                <w:rFonts w:ascii="Times New Roman" w:hAnsi="Times New Roman" w:cs="Times New Roman"/>
                <w:spacing w:val="2"/>
                <w:sz w:val="24"/>
                <w:szCs w:val="24"/>
              </w:rPr>
              <w:t>дорог</w:t>
            </w:r>
            <w:r w:rsidRPr="00BD2699">
              <w:rPr>
                <w:rFonts w:ascii="Times New Roman" w:hAnsi="Times New Roman" w:cs="Times New Roman"/>
                <w:spacing w:val="2"/>
                <w:sz w:val="24"/>
                <w:szCs w:val="24"/>
                <w:lang w:val="kk-KZ"/>
              </w:rPr>
              <w:t xml:space="preserve"> не только общего пользования</w:t>
            </w:r>
            <w:r w:rsidRPr="00BD2699">
              <w:rPr>
                <w:rFonts w:ascii="Times New Roman" w:hAnsi="Times New Roman" w:cs="Times New Roman"/>
                <w:spacing w:val="2"/>
                <w:sz w:val="24"/>
                <w:szCs w:val="24"/>
              </w:rPr>
              <w:t>,</w:t>
            </w:r>
            <w:r w:rsidRPr="00BD2699">
              <w:rPr>
                <w:rFonts w:ascii="Times New Roman" w:hAnsi="Times New Roman" w:cs="Times New Roman"/>
                <w:spacing w:val="2"/>
                <w:sz w:val="24"/>
                <w:szCs w:val="24"/>
                <w:lang w:val="kk-KZ"/>
              </w:rPr>
              <w:t xml:space="preserve"> но и населенных пунктов</w:t>
            </w:r>
            <w:r w:rsidRPr="00BD2699">
              <w:rPr>
                <w:rFonts w:ascii="Times New Roman" w:hAnsi="Times New Roman" w:cs="Times New Roman"/>
                <w:spacing w:val="2"/>
                <w:sz w:val="24"/>
                <w:szCs w:val="24"/>
              </w:rPr>
              <w:t xml:space="preserve"> установить минимальное пороговое значение демпинга по аналогии с СМР, проектирование и технадзором.</w:t>
            </w:r>
          </w:p>
          <w:p w14:paraId="164EF490" w14:textId="7DD40B11" w:rsidR="0005703A" w:rsidRPr="00BD2699" w:rsidRDefault="0005703A" w:rsidP="0005703A">
            <w:pPr>
              <w:ind w:firstLine="446"/>
              <w:jc w:val="both"/>
              <w:rPr>
                <w:rFonts w:ascii="Times New Roman" w:hAnsi="Times New Roman" w:cs="Times New Roman"/>
                <w:spacing w:val="2"/>
                <w:sz w:val="24"/>
                <w:szCs w:val="24"/>
              </w:rPr>
            </w:pPr>
          </w:p>
        </w:tc>
      </w:tr>
      <w:tr w:rsidR="0005703A" w:rsidRPr="00BD2699" w14:paraId="051E22FF" w14:textId="77777777" w:rsidTr="007D6304">
        <w:trPr>
          <w:gridAfter w:val="1"/>
          <w:wAfter w:w="18" w:type="dxa"/>
          <w:trHeight w:val="407"/>
        </w:trPr>
        <w:tc>
          <w:tcPr>
            <w:tcW w:w="605" w:type="dxa"/>
            <w:shd w:val="clear" w:color="auto" w:fill="auto"/>
          </w:tcPr>
          <w:p w14:paraId="62D2F19C" w14:textId="77777777" w:rsidR="0005703A" w:rsidRPr="00BD2699" w:rsidRDefault="0005703A"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518BC7CF" w14:textId="0206ECA7" w:rsidR="0005703A" w:rsidRPr="00BD2699" w:rsidRDefault="001532C9" w:rsidP="0005703A">
            <w:pPr>
              <w:jc w:val="center"/>
              <w:rPr>
                <w:rFonts w:ascii="Times New Roman" w:hAnsi="Times New Roman" w:cs="Times New Roman"/>
                <w:sz w:val="24"/>
                <w:szCs w:val="24"/>
              </w:rPr>
            </w:pPr>
            <w:r w:rsidRPr="00BD2699">
              <w:rPr>
                <w:rFonts w:ascii="Times New Roman" w:hAnsi="Times New Roman" w:cs="Times New Roman"/>
                <w:sz w:val="24"/>
                <w:szCs w:val="24"/>
              </w:rPr>
              <w:t>Пункт 77</w:t>
            </w:r>
          </w:p>
        </w:tc>
        <w:tc>
          <w:tcPr>
            <w:tcW w:w="4950" w:type="dxa"/>
            <w:shd w:val="clear" w:color="auto" w:fill="auto"/>
          </w:tcPr>
          <w:p w14:paraId="7A7D3DBE" w14:textId="0CE9B836" w:rsidR="0005703A" w:rsidRPr="00BD2699" w:rsidRDefault="001532C9" w:rsidP="0005703A">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77. Цена заявки на участие в конкурсе потенциального поставщика на товары, работы (за исключением работ, предусмотренных в пунктах 73, 74, 75 настоящих Правил), услуги (за исключением услуг, предусмотренных пунктами 76 и 76-1 настоящих Правил), признается демпинговой в случае, если она ниже цены, выделенной на конкурс более чем на двадцать процентов.</w:t>
            </w:r>
          </w:p>
        </w:tc>
        <w:tc>
          <w:tcPr>
            <w:tcW w:w="5245" w:type="dxa"/>
            <w:shd w:val="clear" w:color="auto" w:fill="auto"/>
          </w:tcPr>
          <w:p w14:paraId="31B6914B" w14:textId="71E7F71A" w:rsidR="0005703A" w:rsidRPr="00BD2699" w:rsidRDefault="001532C9" w:rsidP="0005703A">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 xml:space="preserve">77. Цена заявки на участие в конкурсе потенциального поставщика на товары, работы (за исключением работ, предусмотренных в пунктах 73, </w:t>
            </w:r>
            <w:r w:rsidRPr="00BD2699">
              <w:rPr>
                <w:rFonts w:ascii="Times New Roman" w:hAnsi="Times New Roman" w:cs="Times New Roman"/>
                <w:b/>
                <w:spacing w:val="2"/>
                <w:sz w:val="24"/>
                <w:szCs w:val="24"/>
              </w:rPr>
              <w:t>73-1,</w:t>
            </w:r>
            <w:r w:rsidRPr="00BD2699">
              <w:rPr>
                <w:rFonts w:ascii="Times New Roman" w:hAnsi="Times New Roman" w:cs="Times New Roman"/>
                <w:spacing w:val="2"/>
                <w:sz w:val="24"/>
                <w:szCs w:val="24"/>
              </w:rPr>
              <w:t xml:space="preserve"> 74, 75 настоящих Правил), услуги (за исключением услуг, предусмотренных пунктами 76 и 76-1 настоящих Правил), признается демпинговой в случае, если она ниже цены, выделенной на конкурс более чем на двадцать процентов.</w:t>
            </w:r>
          </w:p>
        </w:tc>
        <w:tc>
          <w:tcPr>
            <w:tcW w:w="3260" w:type="dxa"/>
            <w:shd w:val="clear" w:color="auto" w:fill="auto"/>
          </w:tcPr>
          <w:p w14:paraId="16822138" w14:textId="77777777" w:rsidR="001532C9" w:rsidRPr="00BD2699" w:rsidRDefault="001532C9" w:rsidP="001532C9">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 xml:space="preserve">В целях повышения качества, а также исключения фактов предоставления заниженных цен предлагается в закупках по среднему ремонту </w:t>
            </w:r>
            <w:r w:rsidRPr="00BD2699">
              <w:rPr>
                <w:rFonts w:ascii="Times New Roman" w:hAnsi="Times New Roman" w:cs="Times New Roman"/>
                <w:spacing w:val="2"/>
                <w:sz w:val="24"/>
                <w:szCs w:val="24"/>
                <w:lang w:val="kk-KZ"/>
              </w:rPr>
              <w:t xml:space="preserve">автомобильных </w:t>
            </w:r>
            <w:r w:rsidRPr="00BD2699">
              <w:rPr>
                <w:rFonts w:ascii="Times New Roman" w:hAnsi="Times New Roman" w:cs="Times New Roman"/>
                <w:spacing w:val="2"/>
                <w:sz w:val="24"/>
                <w:szCs w:val="24"/>
              </w:rPr>
              <w:t>дорог</w:t>
            </w:r>
            <w:r w:rsidRPr="00BD2699">
              <w:rPr>
                <w:rFonts w:ascii="Times New Roman" w:hAnsi="Times New Roman" w:cs="Times New Roman"/>
                <w:spacing w:val="2"/>
                <w:sz w:val="24"/>
                <w:szCs w:val="24"/>
                <w:lang w:val="kk-KZ"/>
              </w:rPr>
              <w:t xml:space="preserve"> не только общего пользования</w:t>
            </w:r>
            <w:r w:rsidRPr="00BD2699">
              <w:rPr>
                <w:rFonts w:ascii="Times New Roman" w:hAnsi="Times New Roman" w:cs="Times New Roman"/>
                <w:spacing w:val="2"/>
                <w:sz w:val="24"/>
                <w:szCs w:val="24"/>
              </w:rPr>
              <w:t>,</w:t>
            </w:r>
            <w:r w:rsidRPr="00BD2699">
              <w:rPr>
                <w:rFonts w:ascii="Times New Roman" w:hAnsi="Times New Roman" w:cs="Times New Roman"/>
                <w:spacing w:val="2"/>
                <w:sz w:val="24"/>
                <w:szCs w:val="24"/>
                <w:lang w:val="kk-KZ"/>
              </w:rPr>
              <w:t xml:space="preserve"> но и населенных пунктов</w:t>
            </w:r>
            <w:r w:rsidRPr="00BD2699">
              <w:rPr>
                <w:rFonts w:ascii="Times New Roman" w:hAnsi="Times New Roman" w:cs="Times New Roman"/>
                <w:spacing w:val="2"/>
                <w:sz w:val="24"/>
                <w:szCs w:val="24"/>
              </w:rPr>
              <w:t xml:space="preserve"> установить минимальное пороговое значение </w:t>
            </w:r>
            <w:r w:rsidRPr="00BD2699">
              <w:rPr>
                <w:rFonts w:ascii="Times New Roman" w:hAnsi="Times New Roman" w:cs="Times New Roman"/>
                <w:spacing w:val="2"/>
                <w:sz w:val="24"/>
                <w:szCs w:val="24"/>
              </w:rPr>
              <w:lastRenderedPageBreak/>
              <w:t>демпинга по аналогии с СМР, проектирование и технадзором.</w:t>
            </w:r>
          </w:p>
          <w:p w14:paraId="43F0BA0B" w14:textId="77777777" w:rsidR="0005703A" w:rsidRPr="00BD2699" w:rsidRDefault="0005703A" w:rsidP="0005703A">
            <w:pPr>
              <w:ind w:firstLine="446"/>
              <w:jc w:val="both"/>
              <w:rPr>
                <w:rFonts w:ascii="Times New Roman" w:hAnsi="Times New Roman" w:cs="Times New Roman"/>
                <w:spacing w:val="2"/>
                <w:sz w:val="24"/>
                <w:szCs w:val="24"/>
              </w:rPr>
            </w:pPr>
          </w:p>
        </w:tc>
      </w:tr>
      <w:tr w:rsidR="0005703A" w:rsidRPr="00BD2699" w14:paraId="4BF4E36A" w14:textId="77777777" w:rsidTr="007D6304">
        <w:trPr>
          <w:gridAfter w:val="1"/>
          <w:wAfter w:w="18" w:type="dxa"/>
          <w:trHeight w:val="407"/>
        </w:trPr>
        <w:tc>
          <w:tcPr>
            <w:tcW w:w="605" w:type="dxa"/>
            <w:shd w:val="clear" w:color="auto" w:fill="auto"/>
          </w:tcPr>
          <w:p w14:paraId="5ACDDA30" w14:textId="77777777" w:rsidR="0005703A" w:rsidRPr="00BD2699" w:rsidRDefault="0005703A"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1B96EBB6" w14:textId="77777777"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 xml:space="preserve">Пункт </w:t>
            </w:r>
          </w:p>
          <w:p w14:paraId="26384CDD" w14:textId="10C974EA"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245-1 Правил</w:t>
            </w:r>
          </w:p>
        </w:tc>
        <w:tc>
          <w:tcPr>
            <w:tcW w:w="4950" w:type="dxa"/>
            <w:tcBorders>
              <w:bottom w:val="single" w:sz="4" w:space="0" w:color="auto"/>
            </w:tcBorders>
            <w:shd w:val="clear" w:color="auto" w:fill="auto"/>
          </w:tcPr>
          <w:p w14:paraId="7F756271" w14:textId="77777777" w:rsidR="0005703A" w:rsidRPr="00BD2699" w:rsidRDefault="0005703A" w:rsidP="0005703A">
            <w:pPr>
              <w:pStyle w:val="a4"/>
              <w:spacing w:before="0" w:beforeAutospacing="0" w:after="0" w:afterAutospacing="0"/>
              <w:ind w:firstLine="306"/>
              <w:jc w:val="both"/>
            </w:pPr>
            <w:r w:rsidRPr="00BD2699">
              <w:t>245-1. Опыт работы потенциального поставщика, полученный в результате реорганизации путем слияния, присоединения и преобразования, помимо документов, указанных в настоящих Правилах, подтверждается потенциальным поставщиком посредством веб-портала на основе сведений о реорганизации таких лиц, полученных с информационной системы уполномоченного государственного органа по регистрации юридических лиц.</w:t>
            </w:r>
          </w:p>
          <w:p w14:paraId="58E98390" w14:textId="38A85618" w:rsidR="0005703A" w:rsidRPr="00BD2699" w:rsidRDefault="0005703A" w:rsidP="0005703A">
            <w:pPr>
              <w:pStyle w:val="a4"/>
              <w:spacing w:before="0" w:beforeAutospacing="0" w:after="0" w:afterAutospacing="0"/>
              <w:ind w:firstLine="306"/>
              <w:jc w:val="both"/>
            </w:pPr>
          </w:p>
        </w:tc>
        <w:tc>
          <w:tcPr>
            <w:tcW w:w="5245" w:type="dxa"/>
            <w:shd w:val="clear" w:color="auto" w:fill="auto"/>
          </w:tcPr>
          <w:p w14:paraId="3761919D" w14:textId="77777777" w:rsidR="0005703A" w:rsidRPr="00BD2699" w:rsidRDefault="0005703A" w:rsidP="0005703A">
            <w:pPr>
              <w:ind w:firstLine="446"/>
              <w:jc w:val="both"/>
              <w:textAlignment w:val="baseline"/>
              <w:rPr>
                <w:rFonts w:ascii="Times New Roman" w:hAnsi="Times New Roman" w:cs="Times New Roman"/>
                <w:spacing w:val="2"/>
                <w:sz w:val="24"/>
                <w:szCs w:val="24"/>
              </w:rPr>
            </w:pPr>
            <w:r w:rsidRPr="00BD2699">
              <w:rPr>
                <w:rFonts w:ascii="Times New Roman" w:hAnsi="Times New Roman" w:cs="Times New Roman"/>
                <w:spacing w:val="2"/>
                <w:sz w:val="24"/>
                <w:szCs w:val="24"/>
              </w:rPr>
              <w:t>245-1. Опыт работы потенциального поставщика, полученный в результате реорганизации путем слияния, присоединения и преобразования, помимо документов, указанных в настоящих Правилах, подтверждается потенциальным поставщиком посредством веб-портала на основе сведений о реорганизации таких лиц, полученных с информационной системы уполномоченного государственного органа по регистрации юридических лиц.</w:t>
            </w:r>
          </w:p>
          <w:p w14:paraId="2B3B08B8" w14:textId="7975CDB5" w:rsidR="0005703A" w:rsidRPr="00BD2699" w:rsidRDefault="0005703A" w:rsidP="0005703A">
            <w:pPr>
              <w:ind w:firstLine="446"/>
              <w:jc w:val="both"/>
              <w:textAlignment w:val="baseline"/>
              <w:rPr>
                <w:rFonts w:ascii="Times New Roman" w:hAnsi="Times New Roman" w:cs="Times New Roman"/>
                <w:b/>
                <w:spacing w:val="2"/>
                <w:sz w:val="24"/>
                <w:szCs w:val="24"/>
              </w:rPr>
            </w:pPr>
            <w:r w:rsidRPr="00BD2699">
              <w:rPr>
                <w:rFonts w:ascii="Times New Roman" w:hAnsi="Times New Roman" w:cs="Times New Roman"/>
                <w:b/>
                <w:spacing w:val="2"/>
                <w:sz w:val="24"/>
                <w:szCs w:val="24"/>
              </w:rPr>
              <w:t>При осуществлении государственных закупок без использования электронного депозитария, опыт работы, полученный в результате реорганизации путем слияния, присоединения и преобразования потенциального поставщика рассматривается конкурсной комиссией после обновления (объединения) на веб-портале показателей финансовой устойчивости реорганизуемых юридических лиц.</w:t>
            </w:r>
          </w:p>
          <w:p w14:paraId="11691DE2" w14:textId="77777777" w:rsidR="0005703A" w:rsidRPr="00BD2699" w:rsidRDefault="0005703A" w:rsidP="0005703A">
            <w:pPr>
              <w:ind w:firstLine="425"/>
              <w:jc w:val="both"/>
              <w:textAlignment w:val="baseline"/>
              <w:outlineLvl w:val="2"/>
              <w:rPr>
                <w:rFonts w:ascii="Times New Roman" w:eastAsia="Times New Roman" w:hAnsi="Times New Roman" w:cs="Times New Roman"/>
                <w:b/>
                <w:sz w:val="24"/>
                <w:szCs w:val="24"/>
              </w:rPr>
            </w:pPr>
          </w:p>
        </w:tc>
        <w:tc>
          <w:tcPr>
            <w:tcW w:w="3260" w:type="dxa"/>
            <w:shd w:val="clear" w:color="auto" w:fill="auto"/>
          </w:tcPr>
          <w:p w14:paraId="08AC102A" w14:textId="62649881" w:rsidR="0005703A" w:rsidRPr="00BD2699" w:rsidRDefault="0005703A" w:rsidP="0005703A">
            <w:pPr>
              <w:ind w:firstLine="320"/>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t>В целях урегулирования вопроса рассмотрения опыта работы потенциального поставщика в составе заявки на участие в конкурсе без применения электронного депозитария по аналогии пункта 94-1 Правил.</w:t>
            </w:r>
          </w:p>
        </w:tc>
      </w:tr>
      <w:tr w:rsidR="0005703A" w:rsidRPr="00BD2699" w14:paraId="13C41B68" w14:textId="77777777" w:rsidTr="007D6304">
        <w:trPr>
          <w:gridAfter w:val="1"/>
          <w:wAfter w:w="18" w:type="dxa"/>
          <w:trHeight w:val="407"/>
        </w:trPr>
        <w:tc>
          <w:tcPr>
            <w:tcW w:w="605" w:type="dxa"/>
            <w:shd w:val="clear" w:color="auto" w:fill="auto"/>
          </w:tcPr>
          <w:p w14:paraId="69DD5D26" w14:textId="77777777" w:rsidR="0005703A" w:rsidRPr="00BD2699" w:rsidRDefault="0005703A"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3379FCE0" w14:textId="77777777"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 xml:space="preserve">Пункт </w:t>
            </w:r>
          </w:p>
          <w:p w14:paraId="6C4B76F5" w14:textId="69E6E108"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251-1 Правил</w:t>
            </w:r>
          </w:p>
        </w:tc>
        <w:tc>
          <w:tcPr>
            <w:tcW w:w="4950" w:type="dxa"/>
            <w:shd w:val="clear" w:color="auto" w:fill="auto"/>
          </w:tcPr>
          <w:p w14:paraId="261F9462" w14:textId="5953F0EE" w:rsidR="0005703A" w:rsidRPr="00BD2699" w:rsidRDefault="0005703A" w:rsidP="0005703A">
            <w:pPr>
              <w:pStyle w:val="a4"/>
              <w:spacing w:before="0" w:beforeAutospacing="0" w:after="0" w:afterAutospacing="0"/>
              <w:ind w:firstLine="306"/>
              <w:jc w:val="both"/>
            </w:pPr>
            <w:r w:rsidRPr="00BD2699">
              <w:rPr>
                <w:b/>
                <w:spacing w:val="2"/>
              </w:rPr>
              <w:t xml:space="preserve">251-1. Отсутствует. </w:t>
            </w:r>
          </w:p>
        </w:tc>
        <w:tc>
          <w:tcPr>
            <w:tcW w:w="5245" w:type="dxa"/>
            <w:shd w:val="clear" w:color="auto" w:fill="auto"/>
          </w:tcPr>
          <w:p w14:paraId="248C455A" w14:textId="1D65D7CD" w:rsidR="0005703A" w:rsidRPr="00BD2699" w:rsidRDefault="0005703A" w:rsidP="0005703A">
            <w:pPr>
              <w:ind w:firstLine="446"/>
              <w:jc w:val="both"/>
              <w:textAlignment w:val="baseline"/>
              <w:rPr>
                <w:rFonts w:ascii="Times New Roman" w:hAnsi="Times New Roman" w:cs="Times New Roman"/>
                <w:spacing w:val="2"/>
                <w:sz w:val="24"/>
                <w:szCs w:val="24"/>
              </w:rPr>
            </w:pPr>
            <w:r w:rsidRPr="00BD2699">
              <w:rPr>
                <w:rFonts w:ascii="Times New Roman" w:hAnsi="Times New Roman" w:cs="Times New Roman"/>
                <w:spacing w:val="2"/>
                <w:sz w:val="24"/>
                <w:szCs w:val="24"/>
              </w:rPr>
              <w:t xml:space="preserve">251-1. В случае, если выделенная сумма на осуществление государственных закупок способом конкурса (лота) </w:t>
            </w:r>
            <w:r w:rsidRPr="00BD2699">
              <w:rPr>
                <w:rFonts w:ascii="Times New Roman" w:hAnsi="Times New Roman" w:cs="Times New Roman"/>
                <w:b/>
                <w:bCs/>
                <w:spacing w:val="2"/>
                <w:sz w:val="24"/>
                <w:szCs w:val="24"/>
              </w:rPr>
              <w:t xml:space="preserve">по работам по разработке технико-экономического обоснования, проектно-сметной (типовой проектно-сметной) документации и градостроительных проектов </w:t>
            </w:r>
            <w:r w:rsidRPr="00BD2699">
              <w:rPr>
                <w:rFonts w:ascii="Times New Roman" w:hAnsi="Times New Roman" w:cs="Times New Roman"/>
                <w:spacing w:val="2"/>
                <w:sz w:val="24"/>
                <w:szCs w:val="24"/>
              </w:rPr>
              <w:t xml:space="preserve">не превышает </w:t>
            </w:r>
            <w:r w:rsidRPr="00BD2699">
              <w:rPr>
                <w:rFonts w:ascii="Times New Roman" w:hAnsi="Times New Roman" w:cs="Times New Roman"/>
                <w:b/>
                <w:spacing w:val="2"/>
                <w:sz w:val="24"/>
                <w:szCs w:val="24"/>
              </w:rPr>
              <w:t>двадцати тысячекратный</w:t>
            </w:r>
            <w:r w:rsidRPr="00BD2699">
              <w:rPr>
                <w:rFonts w:ascii="Times New Roman" w:hAnsi="Times New Roman" w:cs="Times New Roman"/>
                <w:spacing w:val="2"/>
                <w:sz w:val="24"/>
                <w:szCs w:val="24"/>
              </w:rPr>
              <w:t xml:space="preserve"> размер месячного расчетного показателя, установленного на </w:t>
            </w:r>
            <w:r w:rsidRPr="00BD2699">
              <w:rPr>
                <w:rFonts w:ascii="Times New Roman" w:hAnsi="Times New Roman" w:cs="Times New Roman"/>
                <w:spacing w:val="2"/>
                <w:sz w:val="24"/>
                <w:szCs w:val="24"/>
              </w:rPr>
              <w:lastRenderedPageBreak/>
              <w:t>соответствующий финансовый год, суммарное процентное влияние на условную цену заявки на участие в конкурсе данного критерия не превышает пяти процентов.</w:t>
            </w:r>
          </w:p>
        </w:tc>
        <w:tc>
          <w:tcPr>
            <w:tcW w:w="3260" w:type="dxa"/>
            <w:shd w:val="clear" w:color="auto" w:fill="auto"/>
          </w:tcPr>
          <w:p w14:paraId="344D47B1" w14:textId="5EEB4BA7" w:rsidR="0005703A" w:rsidRPr="00BD2699" w:rsidRDefault="0005703A" w:rsidP="0005703A">
            <w:pPr>
              <w:ind w:firstLine="320"/>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lastRenderedPageBreak/>
              <w:t>Согласно предложениям НПП «</w:t>
            </w:r>
            <w:proofErr w:type="spellStart"/>
            <w:r w:rsidRPr="00BD2699">
              <w:rPr>
                <w:rFonts w:ascii="Times New Roman" w:eastAsia="Times New Roman" w:hAnsi="Times New Roman" w:cs="Times New Roman"/>
                <w:sz w:val="24"/>
                <w:szCs w:val="24"/>
                <w:lang w:eastAsia="ru-RU"/>
              </w:rPr>
              <w:t>Атамекен</w:t>
            </w:r>
            <w:proofErr w:type="spellEnd"/>
            <w:r w:rsidRPr="00BD2699">
              <w:rPr>
                <w:rFonts w:ascii="Times New Roman" w:eastAsia="Times New Roman" w:hAnsi="Times New Roman" w:cs="Times New Roman"/>
                <w:sz w:val="24"/>
                <w:szCs w:val="24"/>
                <w:lang w:eastAsia="ru-RU"/>
              </w:rPr>
              <w:t>», в целях расширения конкурентной среды, а также принимая во внимание что суммы работ по разработке технико-экономического обоснования, проектно-сметной (типовой проектно-</w:t>
            </w:r>
            <w:r w:rsidRPr="00BD2699">
              <w:rPr>
                <w:rFonts w:ascii="Times New Roman" w:eastAsia="Times New Roman" w:hAnsi="Times New Roman" w:cs="Times New Roman"/>
                <w:sz w:val="24"/>
                <w:szCs w:val="24"/>
                <w:lang w:eastAsia="ru-RU"/>
              </w:rPr>
              <w:lastRenderedPageBreak/>
              <w:t xml:space="preserve">сметной) документации и градостроительных проектов как правило не достигают 200 000 МРП, предлагается установить соответствующее разграничение между СМР и работами по разработке ПСД.  </w:t>
            </w:r>
          </w:p>
        </w:tc>
      </w:tr>
      <w:tr w:rsidR="0005703A" w:rsidRPr="00BD2699" w14:paraId="1C5C6816" w14:textId="77777777" w:rsidTr="007D6304">
        <w:trPr>
          <w:gridAfter w:val="1"/>
          <w:wAfter w:w="18" w:type="dxa"/>
          <w:trHeight w:val="407"/>
        </w:trPr>
        <w:tc>
          <w:tcPr>
            <w:tcW w:w="605" w:type="dxa"/>
            <w:shd w:val="clear" w:color="auto" w:fill="auto"/>
          </w:tcPr>
          <w:p w14:paraId="4848DB1F" w14:textId="77777777" w:rsidR="0005703A" w:rsidRPr="00BD2699" w:rsidRDefault="0005703A"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03C23E62" w14:textId="77777777"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 xml:space="preserve">Пункт </w:t>
            </w:r>
          </w:p>
          <w:p w14:paraId="2E0B076F" w14:textId="70B68E69"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252-1 Правил</w:t>
            </w:r>
          </w:p>
        </w:tc>
        <w:tc>
          <w:tcPr>
            <w:tcW w:w="4950" w:type="dxa"/>
            <w:shd w:val="clear" w:color="auto" w:fill="auto"/>
          </w:tcPr>
          <w:p w14:paraId="7828F8A0" w14:textId="49651455" w:rsidR="0005703A" w:rsidRPr="00BD2699" w:rsidRDefault="0005703A" w:rsidP="0005703A">
            <w:pPr>
              <w:pStyle w:val="a4"/>
              <w:spacing w:before="0" w:beforeAutospacing="0" w:after="0" w:afterAutospacing="0"/>
              <w:ind w:firstLine="306"/>
              <w:jc w:val="both"/>
            </w:pPr>
            <w:r w:rsidRPr="00BD2699">
              <w:rPr>
                <w:b/>
                <w:spacing w:val="2"/>
              </w:rPr>
              <w:t xml:space="preserve">252-1. Отсутствует.  </w:t>
            </w:r>
          </w:p>
        </w:tc>
        <w:tc>
          <w:tcPr>
            <w:tcW w:w="5245" w:type="dxa"/>
            <w:shd w:val="clear" w:color="auto" w:fill="auto"/>
          </w:tcPr>
          <w:p w14:paraId="56D70105" w14:textId="24EF82DC" w:rsidR="0005703A" w:rsidRPr="00BD2699" w:rsidRDefault="0005703A" w:rsidP="0005703A">
            <w:pPr>
              <w:ind w:firstLine="446"/>
              <w:jc w:val="both"/>
              <w:textAlignment w:val="baseline"/>
              <w:rPr>
                <w:rFonts w:ascii="Times New Roman" w:hAnsi="Times New Roman" w:cs="Times New Roman"/>
                <w:spacing w:val="2"/>
                <w:sz w:val="24"/>
                <w:szCs w:val="24"/>
              </w:rPr>
            </w:pPr>
            <w:r w:rsidRPr="00BD2699">
              <w:rPr>
                <w:rFonts w:ascii="Times New Roman" w:hAnsi="Times New Roman" w:cs="Times New Roman"/>
                <w:spacing w:val="2"/>
                <w:sz w:val="24"/>
                <w:szCs w:val="24"/>
              </w:rPr>
              <w:t>25</w:t>
            </w:r>
            <w:r w:rsidRPr="00BD2699">
              <w:rPr>
                <w:rFonts w:ascii="Times New Roman" w:hAnsi="Times New Roman" w:cs="Times New Roman"/>
                <w:spacing w:val="2"/>
                <w:sz w:val="24"/>
                <w:szCs w:val="24"/>
                <w:lang w:val="kk-KZ"/>
              </w:rPr>
              <w:t>2</w:t>
            </w:r>
            <w:r w:rsidRPr="00BD2699">
              <w:rPr>
                <w:rFonts w:ascii="Times New Roman" w:hAnsi="Times New Roman" w:cs="Times New Roman"/>
                <w:spacing w:val="2"/>
                <w:sz w:val="24"/>
                <w:szCs w:val="24"/>
              </w:rPr>
              <w:t xml:space="preserve">-1. В случае, если выделенная сумма на осуществление государственных закупок способом конкурса (лота) </w:t>
            </w:r>
            <w:r w:rsidRPr="00BD2699">
              <w:rPr>
                <w:rFonts w:ascii="Times New Roman" w:hAnsi="Times New Roman" w:cs="Times New Roman"/>
                <w:b/>
                <w:bCs/>
                <w:spacing w:val="2"/>
                <w:sz w:val="24"/>
                <w:szCs w:val="24"/>
              </w:rPr>
              <w:t>по работам по разработке технико-экономического обоснования, проектно-сметной (типовой проектно-сметной) документации и градостроительных проектов</w:t>
            </w:r>
            <w:r w:rsidRPr="00BD2699">
              <w:rPr>
                <w:rFonts w:ascii="Times New Roman" w:hAnsi="Times New Roman" w:cs="Times New Roman"/>
                <w:spacing w:val="2"/>
                <w:sz w:val="24"/>
                <w:szCs w:val="24"/>
              </w:rPr>
              <w:t xml:space="preserve"> превышает </w:t>
            </w:r>
            <w:r w:rsidRPr="00BD2699">
              <w:rPr>
                <w:rFonts w:ascii="Times New Roman" w:hAnsi="Times New Roman" w:cs="Times New Roman"/>
                <w:b/>
                <w:spacing w:val="2"/>
                <w:sz w:val="24"/>
                <w:szCs w:val="24"/>
              </w:rPr>
              <w:t>двадцати тысячекратный</w:t>
            </w:r>
            <w:r w:rsidRPr="00BD2699">
              <w:rPr>
                <w:rFonts w:ascii="Times New Roman" w:hAnsi="Times New Roman" w:cs="Times New Roman"/>
                <w:spacing w:val="2"/>
                <w:sz w:val="24"/>
                <w:szCs w:val="24"/>
              </w:rPr>
              <w:t xml:space="preserve">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десять процентов.</w:t>
            </w:r>
          </w:p>
        </w:tc>
        <w:tc>
          <w:tcPr>
            <w:tcW w:w="3260" w:type="dxa"/>
            <w:shd w:val="clear" w:color="auto" w:fill="auto"/>
          </w:tcPr>
          <w:p w14:paraId="114EF011" w14:textId="5897F1DB" w:rsidR="0005703A" w:rsidRPr="00BD2699" w:rsidRDefault="0005703A" w:rsidP="0005703A">
            <w:pPr>
              <w:ind w:firstLine="320"/>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t>Согласно предложениям НПП «</w:t>
            </w:r>
            <w:proofErr w:type="spellStart"/>
            <w:r w:rsidRPr="00BD2699">
              <w:rPr>
                <w:rFonts w:ascii="Times New Roman" w:eastAsia="Times New Roman" w:hAnsi="Times New Roman" w:cs="Times New Roman"/>
                <w:sz w:val="24"/>
                <w:szCs w:val="24"/>
                <w:lang w:eastAsia="ru-RU"/>
              </w:rPr>
              <w:t>Атамекен</w:t>
            </w:r>
            <w:proofErr w:type="spellEnd"/>
            <w:r w:rsidRPr="00BD2699">
              <w:rPr>
                <w:rFonts w:ascii="Times New Roman" w:eastAsia="Times New Roman" w:hAnsi="Times New Roman" w:cs="Times New Roman"/>
                <w:sz w:val="24"/>
                <w:szCs w:val="24"/>
                <w:lang w:eastAsia="ru-RU"/>
              </w:rPr>
              <w:t xml:space="preserve">», в целях расширения конкурентной среды, а также принимая во внимание что суммы работ по разработке технико-экономического обоснования, проектно-сметной (типовой проектно-сметной) документации и градостроительных проектов как правило не достигают 200 000 МРП, предлагается установить соответствующее разграничение между СМР и работами по разработке ПСД.  </w:t>
            </w:r>
          </w:p>
        </w:tc>
      </w:tr>
      <w:tr w:rsidR="001532C9" w:rsidRPr="00BD2699" w14:paraId="44DF7156" w14:textId="77777777" w:rsidTr="007D6304">
        <w:trPr>
          <w:gridAfter w:val="1"/>
          <w:wAfter w:w="18" w:type="dxa"/>
          <w:trHeight w:val="407"/>
        </w:trPr>
        <w:tc>
          <w:tcPr>
            <w:tcW w:w="605" w:type="dxa"/>
            <w:shd w:val="clear" w:color="auto" w:fill="auto"/>
          </w:tcPr>
          <w:p w14:paraId="5932D880" w14:textId="77777777" w:rsidR="001532C9" w:rsidRPr="00BD2699" w:rsidRDefault="001532C9"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0EA8879C" w14:textId="4F3B202F" w:rsidR="001532C9" w:rsidRPr="00BD2699" w:rsidRDefault="001532C9" w:rsidP="0005703A">
            <w:pPr>
              <w:jc w:val="center"/>
              <w:rPr>
                <w:rFonts w:ascii="Times New Roman" w:hAnsi="Times New Roman" w:cs="Times New Roman"/>
                <w:sz w:val="24"/>
                <w:szCs w:val="24"/>
              </w:rPr>
            </w:pPr>
            <w:r w:rsidRPr="00BD2699">
              <w:rPr>
                <w:rFonts w:ascii="Times New Roman" w:hAnsi="Times New Roman" w:cs="Times New Roman"/>
                <w:sz w:val="24"/>
                <w:szCs w:val="24"/>
              </w:rPr>
              <w:t>Пункт 265</w:t>
            </w:r>
          </w:p>
        </w:tc>
        <w:tc>
          <w:tcPr>
            <w:tcW w:w="4950" w:type="dxa"/>
            <w:shd w:val="clear" w:color="auto" w:fill="auto"/>
          </w:tcPr>
          <w:p w14:paraId="72672EBB" w14:textId="4DDD5052" w:rsidR="001532C9" w:rsidRPr="00BD2699" w:rsidRDefault="001532C9" w:rsidP="0005703A">
            <w:pPr>
              <w:pStyle w:val="a4"/>
              <w:spacing w:before="0" w:beforeAutospacing="0" w:after="0" w:afterAutospacing="0"/>
              <w:ind w:firstLine="306"/>
              <w:jc w:val="both"/>
              <w:rPr>
                <w:spacing w:val="2"/>
              </w:rPr>
            </w:pPr>
            <w:r w:rsidRPr="00BD2699">
              <w:rPr>
                <w:spacing w:val="2"/>
              </w:rPr>
              <w:t>265. Опыт работы в сфере строительства рассчитывается исходя из функционального назначения и отраслевой принадлежности объектов строительства (аналогичность или схожесть ранее выполненных работ по видам строительства) и их технической сложности, определенной в соответствии с законодательством Республики Казахстан об архитектурной, градостроительной и строительной деятельности.</w:t>
            </w:r>
          </w:p>
        </w:tc>
        <w:tc>
          <w:tcPr>
            <w:tcW w:w="5245" w:type="dxa"/>
            <w:shd w:val="clear" w:color="auto" w:fill="auto"/>
          </w:tcPr>
          <w:p w14:paraId="7B78AB93" w14:textId="21B6ED8C" w:rsidR="001532C9" w:rsidRPr="00BD2699" w:rsidRDefault="001532C9" w:rsidP="000A62A2">
            <w:pPr>
              <w:ind w:firstLine="446"/>
              <w:jc w:val="both"/>
              <w:textAlignment w:val="baseline"/>
              <w:rPr>
                <w:rFonts w:ascii="Times New Roman" w:hAnsi="Times New Roman" w:cs="Times New Roman"/>
                <w:spacing w:val="2"/>
                <w:sz w:val="24"/>
                <w:szCs w:val="24"/>
              </w:rPr>
            </w:pPr>
            <w:r w:rsidRPr="00BD2699">
              <w:rPr>
                <w:rFonts w:ascii="Times New Roman" w:hAnsi="Times New Roman" w:cs="Times New Roman"/>
                <w:spacing w:val="2"/>
                <w:sz w:val="24"/>
                <w:szCs w:val="24"/>
              </w:rPr>
              <w:t xml:space="preserve">265. Опыт работы в сфере строительства рассчитывается исходя из функционального назначения и отраслевой принадлежности объектов строительства (аналогичность или схожесть ранее выполненных работ по видам строительства) и их технической сложности, определенной в соответствии </w:t>
            </w:r>
            <w:r w:rsidRPr="00BD2699">
              <w:rPr>
                <w:rFonts w:ascii="Times New Roman" w:hAnsi="Times New Roman" w:cs="Times New Roman"/>
                <w:b/>
                <w:spacing w:val="2"/>
                <w:sz w:val="24"/>
                <w:szCs w:val="24"/>
              </w:rPr>
              <w:t xml:space="preserve">с Правилами определения общего порядка отнесения зданий и сооружений к технически и (или) технологически сложным объектам, утвержденными </w:t>
            </w:r>
            <w:r w:rsidR="000A62A2" w:rsidRPr="00BD2699">
              <w:rPr>
                <w:rFonts w:ascii="Times New Roman" w:hAnsi="Times New Roman" w:cs="Times New Roman"/>
                <w:b/>
                <w:spacing w:val="2"/>
                <w:sz w:val="24"/>
                <w:szCs w:val="24"/>
              </w:rPr>
              <w:t xml:space="preserve">Приказом Министра национальной экономики Республики Казахстан от 28 февраля 2015 года № 165 </w:t>
            </w:r>
            <w:r w:rsidR="000A62A2" w:rsidRPr="00BD2699">
              <w:rPr>
                <w:rFonts w:ascii="Times New Roman" w:hAnsi="Times New Roman" w:cs="Times New Roman"/>
                <w:b/>
                <w:spacing w:val="2"/>
                <w:sz w:val="24"/>
                <w:szCs w:val="24"/>
              </w:rPr>
              <w:lastRenderedPageBreak/>
              <w:t>(Зарегистрирован в Министерстве юстиции Республики Казахстан 9 апреля 2015 года № 10666).</w:t>
            </w:r>
          </w:p>
        </w:tc>
        <w:tc>
          <w:tcPr>
            <w:tcW w:w="3260" w:type="dxa"/>
            <w:shd w:val="clear" w:color="auto" w:fill="auto"/>
          </w:tcPr>
          <w:p w14:paraId="5F5B191E" w14:textId="515972F6" w:rsidR="001532C9" w:rsidRPr="00BD2699" w:rsidRDefault="000A62A2" w:rsidP="000A62A2">
            <w:pPr>
              <w:ind w:firstLine="320"/>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lastRenderedPageBreak/>
              <w:t>В целях установления единообразного подхода по расчету опыта работы в соответствии с Правилами определения общего порядка отнесения зданий и сооружений к технически и (или) технологически сложным объектам.</w:t>
            </w:r>
          </w:p>
        </w:tc>
      </w:tr>
      <w:tr w:rsidR="0005703A" w:rsidRPr="00BD2699" w14:paraId="059DAFDA" w14:textId="77777777" w:rsidTr="007D6304">
        <w:trPr>
          <w:gridAfter w:val="1"/>
          <w:wAfter w:w="18" w:type="dxa"/>
          <w:trHeight w:val="407"/>
        </w:trPr>
        <w:tc>
          <w:tcPr>
            <w:tcW w:w="605" w:type="dxa"/>
            <w:shd w:val="clear" w:color="auto" w:fill="auto"/>
          </w:tcPr>
          <w:p w14:paraId="1B037A1A" w14:textId="77777777" w:rsidR="0005703A" w:rsidRPr="00BD2699" w:rsidRDefault="0005703A"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6F6FE526" w14:textId="65799FDF"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 xml:space="preserve">Пункт 266 Правил </w:t>
            </w:r>
          </w:p>
        </w:tc>
        <w:tc>
          <w:tcPr>
            <w:tcW w:w="4950" w:type="dxa"/>
            <w:tcBorders>
              <w:bottom w:val="single" w:sz="4" w:space="0" w:color="auto"/>
            </w:tcBorders>
            <w:shd w:val="clear" w:color="auto" w:fill="auto"/>
          </w:tcPr>
          <w:p w14:paraId="1AA71A7A" w14:textId="77777777" w:rsidR="0005703A" w:rsidRPr="00BD2699" w:rsidRDefault="0005703A" w:rsidP="0005703A">
            <w:pPr>
              <w:pStyle w:val="a4"/>
              <w:spacing w:before="0" w:beforeAutospacing="0" w:after="0" w:afterAutospacing="0"/>
              <w:ind w:firstLine="306"/>
              <w:jc w:val="both"/>
            </w:pPr>
            <w:r w:rsidRPr="00BD2699">
              <w:t>266. При расчете опыта работы в сфере строительства (строительно-монтажные работы и проектирование) потенциального поставщика в совокупности учитывается:</w:t>
            </w:r>
          </w:p>
          <w:p w14:paraId="3F256784" w14:textId="1ECE5F40" w:rsidR="0005703A" w:rsidRPr="00BD2699" w:rsidRDefault="0005703A" w:rsidP="0005703A">
            <w:pPr>
              <w:pStyle w:val="a4"/>
              <w:spacing w:before="0" w:beforeAutospacing="0" w:after="0" w:afterAutospacing="0"/>
              <w:ind w:firstLine="306"/>
              <w:jc w:val="both"/>
            </w:pPr>
            <w:r w:rsidRPr="00BD2699">
              <w:t>1) уровень ответственности зданий и сооружений (первый – повышенный, второй – нормальный, третий – пониженный).</w:t>
            </w:r>
          </w:p>
          <w:p w14:paraId="57C7BFC1" w14:textId="6E28D358"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здания и сооружения первого (повышенного) уровня ответственности, учитывается опыт работы только зданий и сооружений первого (повышенного) уровня ответственности.</w:t>
            </w:r>
          </w:p>
          <w:p w14:paraId="12E6B9A2" w14:textId="2F40C08B"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здания и сооружения второго (нормального) уровня ответственности, учитывается опыт работы зданий и сооружений первого (повышенного) и второго (нормального) уровня ответственности.</w:t>
            </w:r>
          </w:p>
          <w:p w14:paraId="2A211286" w14:textId="62276BC9"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здания и сооружения третьего (пониженного) уровня ответственности, учитывается опыт работы зданий и сооружений первого (повышенного), второго (нормального) и третьего (пониженного) уровня ответственности;</w:t>
            </w:r>
          </w:p>
          <w:p w14:paraId="4478C5D3" w14:textId="1D5EEF50" w:rsidR="0005703A" w:rsidRPr="00BD2699" w:rsidRDefault="0005703A" w:rsidP="0005703A">
            <w:pPr>
              <w:pStyle w:val="a4"/>
              <w:spacing w:before="0" w:beforeAutospacing="0" w:after="0" w:afterAutospacing="0"/>
              <w:ind w:firstLine="306"/>
              <w:jc w:val="both"/>
            </w:pPr>
            <w:r w:rsidRPr="00BD2699">
              <w:t>2) 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p w14:paraId="7E20F880" w14:textId="5E0F9C1D" w:rsidR="0005703A" w:rsidRPr="00BD2699" w:rsidRDefault="0005703A" w:rsidP="0005703A">
            <w:pPr>
              <w:pStyle w:val="a4"/>
              <w:spacing w:before="0" w:beforeAutospacing="0" w:after="0" w:afterAutospacing="0"/>
              <w:ind w:firstLine="306"/>
              <w:jc w:val="both"/>
            </w:pPr>
            <w:r w:rsidRPr="00BD2699">
              <w:t xml:space="preserve">В случае, если предметом конкурса являются технически сложные объекты </w:t>
            </w:r>
            <w:r w:rsidRPr="00BD2699">
              <w:lastRenderedPageBreak/>
              <w:t>(комплексы), учитывается опыт работы только технически сложных объектов (комплексов).</w:t>
            </w:r>
          </w:p>
          <w:p w14:paraId="20853D26" w14:textId="17E4EC63"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здания и сооружения, не относящиеся к технически сложным объектам (комплексам), учитывается опыт работы технически сложных объектов (комплексов) и зданий и сооружений, не относящихся к технически сложным объектам (комплексам);</w:t>
            </w:r>
          </w:p>
          <w:p w14:paraId="152DD48C" w14:textId="444D625D" w:rsidR="0005703A" w:rsidRPr="00BD2699" w:rsidRDefault="0005703A" w:rsidP="0005703A">
            <w:pPr>
              <w:pStyle w:val="a4"/>
              <w:spacing w:before="0" w:beforeAutospacing="0" w:after="0" w:afterAutospacing="0"/>
              <w:ind w:firstLine="306"/>
              <w:jc w:val="both"/>
            </w:pPr>
            <w:r w:rsidRPr="00BD2699">
              <w:t>3) функциональное назначение (промышленные объекты, производственные здания, сооружения, объекты жилищно-гражданского назначения, прочие сооружения);</w:t>
            </w:r>
          </w:p>
          <w:p w14:paraId="1A10AEC0" w14:textId="7F121AE3" w:rsidR="0005703A" w:rsidRPr="00BD2699" w:rsidRDefault="0005703A" w:rsidP="0005703A">
            <w:pPr>
              <w:pStyle w:val="a4"/>
              <w:spacing w:before="0" w:beforeAutospacing="0" w:after="0" w:afterAutospacing="0"/>
              <w:ind w:firstLine="306"/>
              <w:jc w:val="both"/>
            </w:pPr>
            <w:r w:rsidRPr="00BD2699">
              <w:t xml:space="preserve">4) аналогичность или схожесть ранее выполненных работ, учитывается при условии их нахождения в одном подпункте соответствующего подвида лицензируемого вида деятельности, предусмотренного разделами 5 и 6 Перечня разрешений первой категории (лицензий) Закона Республики Казахстан </w:t>
            </w:r>
            <w:r w:rsidRPr="00BD2699">
              <w:rPr>
                <w:lang w:val="kk-KZ"/>
              </w:rPr>
              <w:t>«</w:t>
            </w:r>
            <w:r w:rsidRPr="00BD2699">
              <w:t>О разрешениях и уведомлениях</w:t>
            </w:r>
            <w:r w:rsidRPr="00BD2699">
              <w:rPr>
                <w:lang w:val="kk-KZ"/>
              </w:rPr>
              <w:t>»</w:t>
            </w:r>
            <w:r w:rsidRPr="00BD2699">
              <w:t xml:space="preserve"> (далее – Закон </w:t>
            </w:r>
            <w:r w:rsidRPr="00BD2699">
              <w:rPr>
                <w:lang w:val="kk-KZ"/>
              </w:rPr>
              <w:t>«</w:t>
            </w:r>
            <w:r w:rsidRPr="00BD2699">
              <w:t>О разрешениях и уведомлениях</w:t>
            </w:r>
            <w:r w:rsidRPr="00BD2699">
              <w:rPr>
                <w:lang w:val="kk-KZ"/>
              </w:rPr>
              <w:t>»</w:t>
            </w:r>
            <w:r w:rsidRPr="00BD2699">
              <w:t>) с предметом конкурса, за исключением работ на объектах жилищно-гражданского назначения.</w:t>
            </w:r>
          </w:p>
          <w:p w14:paraId="3DE410A0" w14:textId="69868D71" w:rsidR="0005703A" w:rsidRPr="00BD2699" w:rsidRDefault="0005703A" w:rsidP="0005703A">
            <w:pPr>
              <w:pStyle w:val="a4"/>
              <w:spacing w:before="0" w:beforeAutospacing="0" w:after="0" w:afterAutospacing="0"/>
              <w:ind w:firstLine="306"/>
              <w:jc w:val="both"/>
            </w:pPr>
            <w:r w:rsidRPr="00BD2699">
              <w:t xml:space="preserve">Аналогичность или схожесть ранее выполненных работ, связанных с электроснабжением, электроосвещением и </w:t>
            </w:r>
            <w:proofErr w:type="spellStart"/>
            <w:r w:rsidRPr="00BD2699">
              <w:t>электроотоплением</w:t>
            </w:r>
            <w:proofErr w:type="spellEnd"/>
            <w:r w:rsidRPr="00BD2699">
              <w:t xml:space="preserve">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w:t>
            </w:r>
            <w:r w:rsidRPr="00BD2699">
              <w:lastRenderedPageBreak/>
              <w:t>Закона «О разрешениях и уведомлениях» с предметом конкурса.</w:t>
            </w:r>
          </w:p>
          <w:p w14:paraId="32B6DB5E" w14:textId="4AF94989" w:rsidR="0005703A" w:rsidRPr="00BD2699" w:rsidRDefault="0005703A" w:rsidP="0005703A">
            <w:pPr>
              <w:pStyle w:val="a4"/>
              <w:spacing w:before="0" w:beforeAutospacing="0" w:after="0" w:afterAutospacing="0"/>
              <w:ind w:firstLine="306"/>
              <w:jc w:val="both"/>
            </w:pPr>
            <w:r w:rsidRPr="00BD2699">
              <w:t>Аналогичность или схожесть ранее выполненных работ связанных со строительством автомобильных дорог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Закона «О разрешениях и уведомлениях» с предметом конкурса.</w:t>
            </w:r>
          </w:p>
        </w:tc>
        <w:tc>
          <w:tcPr>
            <w:tcW w:w="5245" w:type="dxa"/>
            <w:shd w:val="clear" w:color="auto" w:fill="auto"/>
          </w:tcPr>
          <w:p w14:paraId="19A11703" w14:textId="27F8A5B8" w:rsidR="0005703A" w:rsidRPr="00BD2699" w:rsidRDefault="0005703A" w:rsidP="0005703A">
            <w:pPr>
              <w:pStyle w:val="a4"/>
              <w:spacing w:before="0" w:beforeAutospacing="0" w:after="0" w:afterAutospacing="0"/>
              <w:ind w:firstLine="306"/>
              <w:jc w:val="both"/>
            </w:pPr>
            <w:r w:rsidRPr="00BD2699">
              <w:lastRenderedPageBreak/>
              <w:t xml:space="preserve">266. При расчете опыта работы в сфере строительства (строительно-монтажные работы и проектирование, </w:t>
            </w:r>
            <w:r w:rsidRPr="00BD2699">
              <w:rPr>
                <w:b/>
              </w:rPr>
              <w:t>а также работы с требованием проектно-сметной (типовой проектно-сметной) документации (благоустройство территорий, капитальный ремонт дворовых территорий в которых предусмотрены выполнение лицензируемых видов))</w:t>
            </w:r>
            <w:r w:rsidRPr="00BD2699">
              <w:t xml:space="preserve"> потенциального поставщика в совокупности учитывается:</w:t>
            </w:r>
          </w:p>
          <w:p w14:paraId="53FC86E2" w14:textId="77777777" w:rsidR="0005703A" w:rsidRPr="00BD2699" w:rsidRDefault="0005703A" w:rsidP="0005703A">
            <w:pPr>
              <w:pStyle w:val="a4"/>
              <w:spacing w:before="0" w:beforeAutospacing="0" w:after="0" w:afterAutospacing="0"/>
              <w:ind w:firstLine="306"/>
              <w:jc w:val="both"/>
            </w:pPr>
            <w:r w:rsidRPr="00BD2699">
              <w:t>1) уровень ответственности зданий и сооружений (первый – повышенный, второй – нормальный, третий – пониженный).</w:t>
            </w:r>
          </w:p>
          <w:p w14:paraId="19CF802B" w14:textId="77777777"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здания и сооружения первого (повышенного) уровня ответственности, учитывается опыт работы только зданий и сооружений первого (повышенного) уровня ответственности.</w:t>
            </w:r>
          </w:p>
          <w:p w14:paraId="4874B2F5" w14:textId="77777777"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здания и сооружения второго (нормального) уровня ответственности, учитывается опыт работы зданий и сооружений первого (повышенного) и второго (нормального) уровня ответственности.</w:t>
            </w:r>
          </w:p>
          <w:p w14:paraId="400249D4" w14:textId="77777777"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здания и сооружения третьего (пониженного) уровня ответственности, учитывается опыт работы зданий и сооружений первого (повышенного), второго (нормального) и третьего (пониженного) уровня ответственности;</w:t>
            </w:r>
          </w:p>
          <w:p w14:paraId="32D72847" w14:textId="77777777" w:rsidR="0005703A" w:rsidRPr="00BD2699" w:rsidRDefault="0005703A" w:rsidP="0005703A">
            <w:pPr>
              <w:pStyle w:val="a4"/>
              <w:spacing w:before="0" w:beforeAutospacing="0" w:after="0" w:afterAutospacing="0"/>
              <w:ind w:firstLine="306"/>
              <w:jc w:val="both"/>
            </w:pPr>
            <w:r w:rsidRPr="00BD2699">
              <w:t xml:space="preserve">2) техническая сложность объектов (здания и сооружения, относящиеся к технически </w:t>
            </w:r>
            <w:r w:rsidRPr="00BD2699">
              <w:lastRenderedPageBreak/>
              <w:t>сложным объектам, и здания, и сооружения, не относящиеся к технически сложным объектам).</w:t>
            </w:r>
          </w:p>
          <w:p w14:paraId="0330F29B" w14:textId="77777777"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технически сложные объекты (комплексы), учитывается опыт работы только технически сложных объектов (комплексов).</w:t>
            </w:r>
          </w:p>
          <w:p w14:paraId="07D7CA60" w14:textId="77777777" w:rsidR="0005703A" w:rsidRPr="00BD2699" w:rsidRDefault="0005703A" w:rsidP="0005703A">
            <w:pPr>
              <w:pStyle w:val="a4"/>
              <w:spacing w:before="0" w:beforeAutospacing="0" w:after="0" w:afterAutospacing="0"/>
              <w:ind w:firstLine="306"/>
              <w:jc w:val="both"/>
            </w:pPr>
            <w:r w:rsidRPr="00BD2699">
              <w:t>В случае, если предметом конкурса являются здания и сооружения, не относящиеся к технически сложным объектам (комплексам), учитывается опыт работы технически сложных объектов (комплексов) и зданий и сооружений, не относящихся к технически сложным объектам (комплексам);</w:t>
            </w:r>
          </w:p>
          <w:p w14:paraId="7C7B82D7" w14:textId="77777777" w:rsidR="0005703A" w:rsidRPr="00BD2699" w:rsidRDefault="0005703A" w:rsidP="0005703A">
            <w:pPr>
              <w:pStyle w:val="a4"/>
              <w:spacing w:before="0" w:beforeAutospacing="0" w:after="0" w:afterAutospacing="0"/>
              <w:ind w:firstLine="306"/>
              <w:jc w:val="both"/>
            </w:pPr>
            <w:r w:rsidRPr="00BD2699">
              <w:t>3) функциональное назначение (промышленные объекты, производственные здания, сооружения, объекты жилищно-гражданского назначения, прочие сооружения);</w:t>
            </w:r>
          </w:p>
          <w:p w14:paraId="29576B42" w14:textId="1C82597D" w:rsidR="0005703A" w:rsidRPr="00BD2699" w:rsidRDefault="0005703A" w:rsidP="0005703A">
            <w:pPr>
              <w:pStyle w:val="a4"/>
              <w:spacing w:before="0" w:beforeAutospacing="0" w:after="0" w:afterAutospacing="0"/>
              <w:ind w:firstLine="306"/>
              <w:jc w:val="both"/>
            </w:pPr>
            <w:r w:rsidRPr="00BD2699">
              <w:t>4) аналогичность или схожесть ранее выполненных работ, учитывается при условии их нахождения в одном подпункте соответствующего подвида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(далее – Закон «О разрешениях и уведомлениях</w:t>
            </w:r>
            <w:r w:rsidRPr="00BD2699">
              <w:rPr>
                <w:lang w:val="kk-KZ"/>
              </w:rPr>
              <w:t>»</w:t>
            </w:r>
            <w:r w:rsidRPr="00BD2699">
              <w:t>) с предметом конкурса, за исключением работ на объектах жилищно-гражданского назначения.</w:t>
            </w:r>
          </w:p>
          <w:p w14:paraId="19BA8298" w14:textId="4B6C94B3" w:rsidR="0005703A" w:rsidRPr="00BD2699" w:rsidRDefault="0005703A" w:rsidP="0005703A">
            <w:pPr>
              <w:pStyle w:val="a4"/>
              <w:spacing w:before="0" w:beforeAutospacing="0" w:after="0" w:afterAutospacing="0"/>
              <w:ind w:firstLine="306"/>
              <w:jc w:val="both"/>
            </w:pPr>
            <w:r w:rsidRPr="00BD2699">
              <w:t xml:space="preserve">Аналогичность или схожесть ранее выполненных работ, связанных с электроснабжением, электроосвещением и </w:t>
            </w:r>
            <w:proofErr w:type="spellStart"/>
            <w:r w:rsidRPr="00BD2699">
              <w:t>электроотоплением</w:t>
            </w:r>
            <w:proofErr w:type="spellEnd"/>
            <w:r w:rsidRPr="00BD2699">
              <w:t xml:space="preserve">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w:t>
            </w:r>
            <w:r w:rsidRPr="00BD2699">
              <w:lastRenderedPageBreak/>
              <w:t xml:space="preserve">разрешений первой категории (лицензий) Закона </w:t>
            </w:r>
            <w:r w:rsidRPr="00BD2699">
              <w:rPr>
                <w:lang w:val="kk-KZ"/>
              </w:rPr>
              <w:t>«</w:t>
            </w:r>
            <w:r w:rsidRPr="00BD2699">
              <w:t>О разрешениях и уведомлениях» с предметом конкурса.</w:t>
            </w:r>
          </w:p>
          <w:p w14:paraId="2C0A62AB" w14:textId="5CFBA260" w:rsidR="0005703A" w:rsidRPr="00BD2699" w:rsidRDefault="0005703A" w:rsidP="00BD2699">
            <w:pPr>
              <w:pStyle w:val="a4"/>
              <w:spacing w:before="0" w:beforeAutospacing="0" w:after="0" w:afterAutospacing="0"/>
              <w:ind w:firstLine="306"/>
              <w:jc w:val="both"/>
            </w:pPr>
            <w:r w:rsidRPr="00BD2699">
              <w:t xml:space="preserve">Аналогичность или схожесть ранее выполненных работ связанных со строительством автомобильных дорог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Закона </w:t>
            </w:r>
            <w:r w:rsidRPr="00BD2699">
              <w:rPr>
                <w:lang w:val="kk-KZ"/>
              </w:rPr>
              <w:t>«</w:t>
            </w:r>
            <w:r w:rsidRPr="00BD2699">
              <w:t>О разрешениях и уведомлениях» с предметом конкурса.</w:t>
            </w:r>
          </w:p>
        </w:tc>
        <w:tc>
          <w:tcPr>
            <w:tcW w:w="3260" w:type="dxa"/>
            <w:shd w:val="clear" w:color="auto" w:fill="auto"/>
          </w:tcPr>
          <w:p w14:paraId="05077EE8"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lastRenderedPageBreak/>
              <w:t xml:space="preserve">В соответствии с подпунктом 4) пункта 266 Правил осуществления госзакупок, при расчете опыта работы в сфере строительства (строительно-монтажные работы и проектирование) потенциального поставщика в совокупности учитывается аналогичность или схожесть ранее выполненных работ, учитывается при условии их нахождения в одном подпункте соответствующего подвида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(далее – Закон «О разрешениях и уведомлениях») с предметом конкурса, </w:t>
            </w:r>
            <w:r w:rsidRPr="00BD2699">
              <w:rPr>
                <w:rFonts w:ascii="Times New Roman" w:eastAsia="Times New Roman" w:hAnsi="Times New Roman" w:cs="Times New Roman"/>
                <w:b/>
                <w:sz w:val="24"/>
                <w:szCs w:val="24"/>
                <w:lang w:val="kk-KZ" w:eastAsia="ru-RU"/>
              </w:rPr>
              <w:t>за исключением работ на объектах жилищно-гражданского назначения</w:t>
            </w:r>
            <w:r w:rsidRPr="00BD2699">
              <w:rPr>
                <w:rFonts w:ascii="Times New Roman" w:eastAsia="Times New Roman" w:hAnsi="Times New Roman" w:cs="Times New Roman"/>
                <w:sz w:val="24"/>
                <w:szCs w:val="24"/>
                <w:lang w:val="kk-KZ" w:eastAsia="ru-RU"/>
              </w:rPr>
              <w:t>.</w:t>
            </w:r>
          </w:p>
          <w:p w14:paraId="0B9C30DF" w14:textId="77777777" w:rsidR="0005703A" w:rsidRPr="00BD2699" w:rsidRDefault="0005703A" w:rsidP="0005703A">
            <w:pPr>
              <w:ind w:firstLine="320"/>
              <w:jc w:val="both"/>
              <w:rPr>
                <w:rFonts w:ascii="Times New Roman" w:eastAsia="Times New Roman" w:hAnsi="Times New Roman" w:cs="Times New Roman"/>
                <w:b/>
                <w:sz w:val="24"/>
                <w:szCs w:val="24"/>
                <w:lang w:val="kk-KZ" w:eastAsia="ru-RU"/>
              </w:rPr>
            </w:pPr>
            <w:r w:rsidRPr="00BD2699">
              <w:rPr>
                <w:rFonts w:ascii="Times New Roman" w:eastAsia="Times New Roman" w:hAnsi="Times New Roman" w:cs="Times New Roman"/>
                <w:sz w:val="24"/>
                <w:szCs w:val="24"/>
                <w:lang w:val="kk-KZ" w:eastAsia="ru-RU"/>
              </w:rPr>
              <w:t xml:space="preserve">Вместе с тем, в соответствии с Правилами определения общего порядка отнесения зданий и </w:t>
            </w:r>
            <w:r w:rsidRPr="00BD2699">
              <w:rPr>
                <w:rFonts w:ascii="Times New Roman" w:eastAsia="Times New Roman" w:hAnsi="Times New Roman" w:cs="Times New Roman"/>
                <w:sz w:val="24"/>
                <w:szCs w:val="24"/>
                <w:lang w:val="kk-KZ" w:eastAsia="ru-RU"/>
              </w:rPr>
              <w:lastRenderedPageBreak/>
              <w:t>сооружений к технически и (или) технологически сложным объектам</w:t>
            </w:r>
            <w:r w:rsidRPr="00BD2699">
              <w:rPr>
                <w:rFonts w:ascii="Times New Roman" w:eastAsia="Times New Roman" w:hAnsi="Times New Roman" w:cs="Times New Roman"/>
                <w:sz w:val="24"/>
                <w:szCs w:val="24"/>
                <w:lang w:eastAsia="ru-RU"/>
              </w:rPr>
              <w:t>, утвержденных п</w:t>
            </w:r>
            <w:r w:rsidRPr="00BD2699">
              <w:rPr>
                <w:rFonts w:ascii="Times New Roman" w:eastAsia="Times New Roman" w:hAnsi="Times New Roman" w:cs="Times New Roman"/>
                <w:sz w:val="24"/>
                <w:szCs w:val="24"/>
                <w:lang w:val="kk-KZ" w:eastAsia="ru-RU"/>
              </w:rPr>
              <w:t>риказом МНЭ РК от 28.02.2015г. № 165 (далее – Правила), определен</w:t>
            </w:r>
            <w:r w:rsidRPr="00BD2699">
              <w:rPr>
                <w:rFonts w:ascii="Times New Roman" w:eastAsia="Times New Roman" w:hAnsi="Times New Roman" w:cs="Times New Roman"/>
                <w:b/>
                <w:sz w:val="24"/>
                <w:szCs w:val="24"/>
                <w:lang w:val="kk-KZ" w:eastAsia="ru-RU"/>
              </w:rPr>
              <w:t xml:space="preserve"> </w:t>
            </w:r>
            <w:r w:rsidRPr="00BD2699">
              <w:rPr>
                <w:rFonts w:ascii="Times New Roman" w:eastAsia="Times New Roman" w:hAnsi="Times New Roman" w:cs="Times New Roman"/>
                <w:sz w:val="24"/>
                <w:szCs w:val="24"/>
                <w:lang w:val="kk-KZ" w:eastAsia="ru-RU"/>
              </w:rPr>
              <w:t>общий порядок отнесения зданий и сооружений к технически и (или) технологически сложным объектам, устанавливают критерии для определения сложности объектов проектирования.</w:t>
            </w:r>
          </w:p>
          <w:p w14:paraId="020BA366"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 xml:space="preserve">Вместе с тем, в соответствии с подпунктом 17 пункта 20 Правил, </w:t>
            </w:r>
            <w:r w:rsidRPr="00BD2699">
              <w:rPr>
                <w:rFonts w:ascii="Times New Roman" w:eastAsia="Times New Roman" w:hAnsi="Times New Roman" w:cs="Times New Roman"/>
                <w:b/>
                <w:sz w:val="24"/>
                <w:szCs w:val="24"/>
                <w:lang w:val="kk-KZ" w:eastAsia="ru-RU"/>
              </w:rPr>
              <w:t>объекты жилищно-гражданского назначения</w:t>
            </w:r>
            <w:r w:rsidRPr="00BD2699">
              <w:rPr>
                <w:rFonts w:ascii="Times New Roman" w:eastAsia="Times New Roman" w:hAnsi="Times New Roman" w:cs="Times New Roman"/>
                <w:sz w:val="24"/>
                <w:szCs w:val="24"/>
                <w:lang w:val="kk-KZ" w:eastAsia="ru-RU"/>
              </w:rPr>
              <w:t xml:space="preserve"> (здания и сооружения и их комплексы), не относящиеся к технологически сложным: </w:t>
            </w:r>
            <w:r w:rsidRPr="00BD2699">
              <w:rPr>
                <w:rFonts w:ascii="Times New Roman" w:eastAsia="Times New Roman" w:hAnsi="Times New Roman" w:cs="Times New Roman"/>
                <w:b/>
                <w:sz w:val="24"/>
                <w:szCs w:val="24"/>
                <w:lang w:val="kk-KZ" w:eastAsia="ru-RU"/>
              </w:rPr>
              <w:t>благоустройство и озеленение</w:t>
            </w:r>
            <w:r w:rsidRPr="00BD2699">
              <w:rPr>
                <w:rFonts w:ascii="Times New Roman" w:eastAsia="Times New Roman" w:hAnsi="Times New Roman" w:cs="Times New Roman"/>
                <w:sz w:val="24"/>
                <w:szCs w:val="24"/>
                <w:lang w:val="kk-KZ" w:eastAsia="ru-RU"/>
              </w:rPr>
              <w:t xml:space="preserve"> территории застройки населенных пунктов, включая:</w:t>
            </w:r>
          </w:p>
          <w:p w14:paraId="13881F01"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инженерную подготовку территории;</w:t>
            </w:r>
          </w:p>
          <w:p w14:paraId="681A1D83"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электроснабжение и наружное электроосвещение;</w:t>
            </w:r>
          </w:p>
          <w:p w14:paraId="4CEB2B9E"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системы местного водоснабжения (в том числе поливочного) и водоотведения;</w:t>
            </w:r>
          </w:p>
          <w:p w14:paraId="74F51DFE"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 xml:space="preserve">малые архитектурные формы и элементы </w:t>
            </w:r>
            <w:r w:rsidRPr="00BD2699">
              <w:rPr>
                <w:rFonts w:ascii="Times New Roman" w:eastAsia="Times New Roman" w:hAnsi="Times New Roman" w:cs="Times New Roman"/>
                <w:sz w:val="24"/>
                <w:szCs w:val="24"/>
                <w:lang w:val="kk-KZ" w:eastAsia="ru-RU"/>
              </w:rPr>
              <w:lastRenderedPageBreak/>
              <w:t>декоративно-художественных строений;</w:t>
            </w:r>
          </w:p>
          <w:p w14:paraId="7A8C920E"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дорожные покрытия проездов и пешеходных дорожек;</w:t>
            </w:r>
          </w:p>
          <w:p w14:paraId="7DCC1BCB"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детские игровые площадки и аттракционы;</w:t>
            </w:r>
          </w:p>
          <w:p w14:paraId="2577F278" w14:textId="1A532C91" w:rsidR="0005703A" w:rsidRPr="00BD2699" w:rsidRDefault="0005703A" w:rsidP="0005703A">
            <w:pPr>
              <w:ind w:firstLine="320"/>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val="kk-KZ" w:eastAsia="ru-RU"/>
              </w:rPr>
              <w:t>парковые строения и водные сооружения.</w:t>
            </w:r>
          </w:p>
        </w:tc>
      </w:tr>
      <w:tr w:rsidR="0005703A" w:rsidRPr="00BD2699" w14:paraId="469A684D" w14:textId="77777777" w:rsidTr="007D6304">
        <w:trPr>
          <w:gridAfter w:val="1"/>
          <w:wAfter w:w="18" w:type="dxa"/>
          <w:trHeight w:val="407"/>
        </w:trPr>
        <w:tc>
          <w:tcPr>
            <w:tcW w:w="605" w:type="dxa"/>
            <w:shd w:val="clear" w:color="auto" w:fill="auto"/>
          </w:tcPr>
          <w:p w14:paraId="0C686DB1" w14:textId="77777777" w:rsidR="0005703A" w:rsidRPr="00BD2699" w:rsidRDefault="0005703A"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50C2270B" w14:textId="77777777"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пункт 270 Правил</w:t>
            </w:r>
          </w:p>
          <w:p w14:paraId="1D44D062" w14:textId="6560E1C5" w:rsidR="0005703A" w:rsidRPr="00BD2699" w:rsidRDefault="0005703A" w:rsidP="0005703A">
            <w:pPr>
              <w:jc w:val="center"/>
              <w:rPr>
                <w:rFonts w:ascii="Times New Roman" w:hAnsi="Times New Roman" w:cs="Times New Roman"/>
                <w:sz w:val="24"/>
                <w:szCs w:val="24"/>
              </w:rPr>
            </w:pPr>
          </w:p>
        </w:tc>
        <w:tc>
          <w:tcPr>
            <w:tcW w:w="4950" w:type="dxa"/>
            <w:shd w:val="clear" w:color="auto" w:fill="auto"/>
          </w:tcPr>
          <w:p w14:paraId="6223F7E4" w14:textId="77777777" w:rsidR="0005703A" w:rsidRPr="00BD2699" w:rsidRDefault="0005703A" w:rsidP="0005703A">
            <w:pPr>
              <w:pStyle w:val="a4"/>
              <w:spacing w:before="0" w:beforeAutospacing="0" w:after="0" w:afterAutospacing="0"/>
              <w:ind w:firstLine="304"/>
              <w:jc w:val="both"/>
              <w:rPr>
                <w:b/>
                <w:spacing w:val="2"/>
              </w:rPr>
            </w:pPr>
            <w:r w:rsidRPr="00BD2699">
              <w:rPr>
                <w:b/>
                <w:spacing w:val="2"/>
              </w:rPr>
              <w:t>270. В случае, если предметом конкурса являются работы по благоустройству территорий или капитальному ремонту дворовых территорий и в которых предусмотрены выполнение лицензируемых видов, опыт работы потенциального поставщика учитывается при наличии опыта по всем лицензируемым видам работ, предусмотренным в предмете конкурса.</w:t>
            </w:r>
          </w:p>
          <w:p w14:paraId="73FAF21A" w14:textId="11A7819C" w:rsidR="0005703A" w:rsidRPr="00BD2699" w:rsidRDefault="0005703A" w:rsidP="0005703A">
            <w:pPr>
              <w:pStyle w:val="a4"/>
              <w:spacing w:before="0" w:beforeAutospacing="0" w:after="0" w:afterAutospacing="0"/>
              <w:ind w:firstLine="304"/>
              <w:jc w:val="both"/>
              <w:rPr>
                <w:spacing w:val="2"/>
              </w:rPr>
            </w:pPr>
          </w:p>
        </w:tc>
        <w:tc>
          <w:tcPr>
            <w:tcW w:w="5245" w:type="dxa"/>
            <w:shd w:val="clear" w:color="auto" w:fill="auto"/>
          </w:tcPr>
          <w:p w14:paraId="7D26B99E" w14:textId="06CA3B0E" w:rsidR="0005703A" w:rsidRPr="00BD2699" w:rsidRDefault="0005703A" w:rsidP="0005703A">
            <w:pPr>
              <w:pStyle w:val="a4"/>
              <w:spacing w:before="0" w:beforeAutospacing="0" w:after="0" w:afterAutospacing="0"/>
              <w:ind w:firstLine="304"/>
              <w:jc w:val="both"/>
              <w:rPr>
                <w:b/>
                <w:spacing w:val="2"/>
              </w:rPr>
            </w:pPr>
            <w:r w:rsidRPr="00BD2699">
              <w:rPr>
                <w:b/>
                <w:spacing w:val="2"/>
                <w:lang w:val="kk-KZ"/>
              </w:rPr>
              <w:t xml:space="preserve">270. </w:t>
            </w:r>
            <w:r w:rsidRPr="00BD2699">
              <w:rPr>
                <w:b/>
                <w:spacing w:val="2"/>
              </w:rPr>
              <w:t xml:space="preserve">Исключить </w:t>
            </w:r>
          </w:p>
        </w:tc>
        <w:tc>
          <w:tcPr>
            <w:tcW w:w="3260" w:type="dxa"/>
            <w:shd w:val="clear" w:color="auto" w:fill="auto"/>
          </w:tcPr>
          <w:p w14:paraId="5A9FCF1F" w14:textId="41965639"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 xml:space="preserve">В соответствии с подпунктом 4) пункта 266 Правил осуществления госзакупок, при расчете опыта работы в сфере строительства (строительно-монтажные работы и проектирование) потенциального поставщика в совокупности учитывается аналогичность или схожесть ранее выполненных работ, учитывается при условии их нахождения в одном подпункте соответствующего подвида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(далее – </w:t>
            </w:r>
            <w:r w:rsidRPr="00BD2699">
              <w:rPr>
                <w:rFonts w:ascii="Times New Roman" w:eastAsia="Times New Roman" w:hAnsi="Times New Roman" w:cs="Times New Roman"/>
                <w:sz w:val="24"/>
                <w:szCs w:val="24"/>
                <w:lang w:val="kk-KZ" w:eastAsia="ru-RU"/>
              </w:rPr>
              <w:lastRenderedPageBreak/>
              <w:t xml:space="preserve">Закон «О разрешениях и уведомлениях») с предметом конкурса, </w:t>
            </w:r>
            <w:r w:rsidRPr="00BD2699">
              <w:rPr>
                <w:rFonts w:ascii="Times New Roman" w:eastAsia="Times New Roman" w:hAnsi="Times New Roman" w:cs="Times New Roman"/>
                <w:b/>
                <w:sz w:val="24"/>
                <w:szCs w:val="24"/>
                <w:lang w:val="kk-KZ" w:eastAsia="ru-RU"/>
              </w:rPr>
              <w:t>за исключением работ на объектах жилищно-гражданского назначения</w:t>
            </w:r>
            <w:r w:rsidRPr="00BD2699">
              <w:rPr>
                <w:rFonts w:ascii="Times New Roman" w:eastAsia="Times New Roman" w:hAnsi="Times New Roman" w:cs="Times New Roman"/>
                <w:sz w:val="24"/>
                <w:szCs w:val="24"/>
                <w:lang w:val="kk-KZ" w:eastAsia="ru-RU"/>
              </w:rPr>
              <w:t>.</w:t>
            </w:r>
          </w:p>
          <w:p w14:paraId="0E1DCB44" w14:textId="206D1B1A" w:rsidR="0005703A" w:rsidRPr="00BD2699" w:rsidRDefault="0005703A" w:rsidP="0005703A">
            <w:pPr>
              <w:ind w:firstLine="320"/>
              <w:jc w:val="both"/>
              <w:rPr>
                <w:rFonts w:ascii="Times New Roman" w:eastAsia="Times New Roman" w:hAnsi="Times New Roman" w:cs="Times New Roman"/>
                <w:b/>
                <w:sz w:val="24"/>
                <w:szCs w:val="24"/>
                <w:lang w:val="kk-KZ" w:eastAsia="ru-RU"/>
              </w:rPr>
            </w:pPr>
            <w:r w:rsidRPr="00BD2699">
              <w:rPr>
                <w:rFonts w:ascii="Times New Roman" w:eastAsia="Times New Roman" w:hAnsi="Times New Roman" w:cs="Times New Roman"/>
                <w:sz w:val="24"/>
                <w:szCs w:val="24"/>
                <w:lang w:val="kk-KZ" w:eastAsia="ru-RU"/>
              </w:rPr>
              <w:t>Вместе с тем, в соответствии с Правилами определения общего порядка отнесения зданий и сооружений к технически и (или) технологически сложным объектам</w:t>
            </w:r>
            <w:r w:rsidRPr="00BD2699">
              <w:rPr>
                <w:rFonts w:ascii="Times New Roman" w:eastAsia="Times New Roman" w:hAnsi="Times New Roman" w:cs="Times New Roman"/>
                <w:sz w:val="24"/>
                <w:szCs w:val="24"/>
                <w:lang w:eastAsia="ru-RU"/>
              </w:rPr>
              <w:t>, утвержденных п</w:t>
            </w:r>
            <w:r w:rsidRPr="00BD2699">
              <w:rPr>
                <w:rFonts w:ascii="Times New Roman" w:eastAsia="Times New Roman" w:hAnsi="Times New Roman" w:cs="Times New Roman"/>
                <w:sz w:val="24"/>
                <w:szCs w:val="24"/>
                <w:lang w:val="kk-KZ" w:eastAsia="ru-RU"/>
              </w:rPr>
              <w:t>риказом МНЭ РК от 28.02.2015г. № 165 (далее – Правила), определен</w:t>
            </w:r>
            <w:r w:rsidRPr="00BD2699">
              <w:rPr>
                <w:rFonts w:ascii="Times New Roman" w:eastAsia="Times New Roman" w:hAnsi="Times New Roman" w:cs="Times New Roman"/>
                <w:b/>
                <w:sz w:val="24"/>
                <w:szCs w:val="24"/>
                <w:lang w:val="kk-KZ" w:eastAsia="ru-RU"/>
              </w:rPr>
              <w:t xml:space="preserve"> </w:t>
            </w:r>
            <w:r w:rsidRPr="00BD2699">
              <w:rPr>
                <w:rFonts w:ascii="Times New Roman" w:eastAsia="Times New Roman" w:hAnsi="Times New Roman" w:cs="Times New Roman"/>
                <w:sz w:val="24"/>
                <w:szCs w:val="24"/>
                <w:lang w:val="kk-KZ" w:eastAsia="ru-RU"/>
              </w:rPr>
              <w:t>общий порядок отнесения зданий и сооружений к технически и (или) технологически сложным объектам, устанавливают критерии для определения сложности объектов проектирования.</w:t>
            </w:r>
          </w:p>
          <w:p w14:paraId="280BB816"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 xml:space="preserve">Вместе с тем, в соответствии с подпунктом 17 пункта 20 Правил, </w:t>
            </w:r>
            <w:r w:rsidRPr="00BD2699">
              <w:rPr>
                <w:rFonts w:ascii="Times New Roman" w:eastAsia="Times New Roman" w:hAnsi="Times New Roman" w:cs="Times New Roman"/>
                <w:b/>
                <w:sz w:val="24"/>
                <w:szCs w:val="24"/>
                <w:lang w:val="kk-KZ" w:eastAsia="ru-RU"/>
              </w:rPr>
              <w:t>объекты жилищно-гражданского назначения</w:t>
            </w:r>
            <w:r w:rsidRPr="00BD2699">
              <w:rPr>
                <w:rFonts w:ascii="Times New Roman" w:eastAsia="Times New Roman" w:hAnsi="Times New Roman" w:cs="Times New Roman"/>
                <w:sz w:val="24"/>
                <w:szCs w:val="24"/>
                <w:lang w:val="kk-KZ" w:eastAsia="ru-RU"/>
              </w:rPr>
              <w:t xml:space="preserve"> (здания и сооружения и их комплексы), не относящиеся к технологически сложным: </w:t>
            </w:r>
            <w:r w:rsidRPr="00BD2699">
              <w:rPr>
                <w:rFonts w:ascii="Times New Roman" w:eastAsia="Times New Roman" w:hAnsi="Times New Roman" w:cs="Times New Roman"/>
                <w:b/>
                <w:sz w:val="24"/>
                <w:szCs w:val="24"/>
                <w:lang w:val="kk-KZ" w:eastAsia="ru-RU"/>
              </w:rPr>
              <w:t>благоустройство и озеленение</w:t>
            </w:r>
            <w:r w:rsidRPr="00BD2699">
              <w:rPr>
                <w:rFonts w:ascii="Times New Roman" w:eastAsia="Times New Roman" w:hAnsi="Times New Roman" w:cs="Times New Roman"/>
                <w:sz w:val="24"/>
                <w:szCs w:val="24"/>
                <w:lang w:val="kk-KZ" w:eastAsia="ru-RU"/>
              </w:rPr>
              <w:t xml:space="preserve"> территории застройки населенных пунктов, включая:</w:t>
            </w:r>
          </w:p>
          <w:p w14:paraId="64A1E94D"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lastRenderedPageBreak/>
              <w:t>инженерную подготовку территории;</w:t>
            </w:r>
          </w:p>
          <w:p w14:paraId="3280097D"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электроснабжение и наружное электроосвещение;</w:t>
            </w:r>
          </w:p>
          <w:p w14:paraId="74F8C411"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системы местного водоснабжения (в том числе поливочного) и водоотведения;</w:t>
            </w:r>
          </w:p>
          <w:p w14:paraId="0686C135"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малые архитектурные формы и элементы декоративно-художественных строений;</w:t>
            </w:r>
          </w:p>
          <w:p w14:paraId="7AAEB9A2"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дорожные покрытия проездов и пешеходных дорожек;</w:t>
            </w:r>
          </w:p>
          <w:p w14:paraId="1C148293" w14:textId="77777777" w:rsidR="0005703A" w:rsidRPr="00BD2699" w:rsidRDefault="0005703A" w:rsidP="0005703A">
            <w:pPr>
              <w:ind w:firstLine="320"/>
              <w:jc w:val="both"/>
              <w:rPr>
                <w:rFonts w:ascii="Times New Roman" w:eastAsia="Times New Roman" w:hAnsi="Times New Roman" w:cs="Times New Roman"/>
                <w:sz w:val="24"/>
                <w:szCs w:val="24"/>
                <w:lang w:val="kk-KZ" w:eastAsia="ru-RU"/>
              </w:rPr>
            </w:pPr>
            <w:r w:rsidRPr="00BD2699">
              <w:rPr>
                <w:rFonts w:ascii="Times New Roman" w:eastAsia="Times New Roman" w:hAnsi="Times New Roman" w:cs="Times New Roman"/>
                <w:sz w:val="24"/>
                <w:szCs w:val="24"/>
                <w:lang w:val="kk-KZ" w:eastAsia="ru-RU"/>
              </w:rPr>
              <w:t>детские игровые площадки и аттракционы;</w:t>
            </w:r>
          </w:p>
          <w:p w14:paraId="51ABCB13" w14:textId="4133E977" w:rsidR="0005703A" w:rsidRPr="00BD2699" w:rsidRDefault="0005703A" w:rsidP="0005703A">
            <w:pPr>
              <w:ind w:firstLine="320"/>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val="kk-KZ" w:eastAsia="ru-RU"/>
              </w:rPr>
              <w:t>парковые строения и водные сооружения.</w:t>
            </w:r>
          </w:p>
        </w:tc>
      </w:tr>
      <w:tr w:rsidR="0005703A" w:rsidRPr="00BD2699" w14:paraId="4DAA3DBC" w14:textId="77777777" w:rsidTr="007D6304">
        <w:trPr>
          <w:gridAfter w:val="1"/>
          <w:wAfter w:w="18" w:type="dxa"/>
          <w:trHeight w:val="407"/>
        </w:trPr>
        <w:tc>
          <w:tcPr>
            <w:tcW w:w="605" w:type="dxa"/>
            <w:shd w:val="clear" w:color="auto" w:fill="auto"/>
          </w:tcPr>
          <w:p w14:paraId="0B92F98F" w14:textId="77777777" w:rsidR="0005703A" w:rsidRPr="00BD2699" w:rsidRDefault="0005703A" w:rsidP="0005703A">
            <w:pPr>
              <w:pStyle w:val="af0"/>
              <w:numPr>
                <w:ilvl w:val="0"/>
                <w:numId w:val="3"/>
              </w:numPr>
              <w:jc w:val="both"/>
              <w:rPr>
                <w:rFonts w:ascii="Times New Roman" w:hAnsi="Times New Roman" w:cs="Times New Roman"/>
                <w:sz w:val="24"/>
                <w:szCs w:val="24"/>
              </w:rPr>
            </w:pPr>
          </w:p>
        </w:tc>
        <w:tc>
          <w:tcPr>
            <w:tcW w:w="1391" w:type="dxa"/>
            <w:shd w:val="clear" w:color="auto" w:fill="auto"/>
          </w:tcPr>
          <w:p w14:paraId="207C95D4" w14:textId="6D2BDCC0" w:rsidR="0005703A" w:rsidRPr="00BD2699" w:rsidRDefault="0005703A" w:rsidP="0005703A">
            <w:pPr>
              <w:jc w:val="center"/>
              <w:rPr>
                <w:rFonts w:ascii="Times New Roman" w:hAnsi="Times New Roman" w:cs="Times New Roman"/>
                <w:sz w:val="24"/>
                <w:szCs w:val="24"/>
              </w:rPr>
            </w:pPr>
            <w:r w:rsidRPr="00BD2699">
              <w:rPr>
                <w:rFonts w:ascii="Times New Roman" w:hAnsi="Times New Roman" w:cs="Times New Roman"/>
                <w:sz w:val="24"/>
                <w:szCs w:val="24"/>
              </w:rPr>
              <w:t xml:space="preserve">Пункт 277 Правил </w:t>
            </w:r>
          </w:p>
        </w:tc>
        <w:tc>
          <w:tcPr>
            <w:tcW w:w="4950" w:type="dxa"/>
            <w:shd w:val="clear" w:color="auto" w:fill="auto"/>
          </w:tcPr>
          <w:p w14:paraId="668CA64D" w14:textId="5C2B19A4" w:rsidR="0005703A" w:rsidRPr="00BD2699" w:rsidRDefault="0005703A" w:rsidP="0005703A">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 xml:space="preserve">277. В случае, если предметом конкурса являются работы по среднему ремонту автомобильных дорог, документами, подтверждающими опыт работы, являются соответствующие электронные копии актов </w:t>
            </w:r>
            <w:r w:rsidRPr="00BD2699">
              <w:rPr>
                <w:rFonts w:ascii="Times New Roman" w:hAnsi="Times New Roman" w:cs="Times New Roman"/>
                <w:b/>
                <w:spacing w:val="2"/>
                <w:sz w:val="24"/>
                <w:szCs w:val="24"/>
              </w:rPr>
              <w:t>приемки</w:t>
            </w:r>
            <w:r w:rsidRPr="00BD2699">
              <w:rPr>
                <w:rFonts w:ascii="Times New Roman" w:hAnsi="Times New Roman" w:cs="Times New Roman"/>
                <w:spacing w:val="2"/>
                <w:sz w:val="24"/>
                <w:szCs w:val="24"/>
              </w:rPr>
              <w:t xml:space="preserve"> выполненных работ.</w:t>
            </w:r>
          </w:p>
        </w:tc>
        <w:tc>
          <w:tcPr>
            <w:tcW w:w="5245" w:type="dxa"/>
            <w:shd w:val="clear" w:color="auto" w:fill="auto"/>
          </w:tcPr>
          <w:p w14:paraId="3CD4D255" w14:textId="5A5DEA1B" w:rsidR="0005703A" w:rsidRPr="00BD2699" w:rsidRDefault="0005703A" w:rsidP="00BD2699">
            <w:pPr>
              <w:ind w:firstLine="446"/>
              <w:jc w:val="both"/>
              <w:rPr>
                <w:rFonts w:ascii="Times New Roman" w:hAnsi="Times New Roman" w:cs="Times New Roman"/>
                <w:b/>
                <w:spacing w:val="2"/>
                <w:sz w:val="24"/>
                <w:szCs w:val="24"/>
              </w:rPr>
            </w:pPr>
            <w:r w:rsidRPr="00BD2699">
              <w:rPr>
                <w:rFonts w:ascii="Times New Roman" w:hAnsi="Times New Roman" w:cs="Times New Roman"/>
                <w:spacing w:val="2"/>
                <w:sz w:val="24"/>
                <w:szCs w:val="24"/>
              </w:rPr>
              <w:t xml:space="preserve">277. В случае, если предметом конкурса являются работы по среднему ремонту автомобильных дорог, документами, подтверждающими опыт работы, являются соответствующие электронные копии актов выполненных работ, </w:t>
            </w:r>
            <w:r w:rsidRPr="00BD2699">
              <w:rPr>
                <w:rFonts w:ascii="Times New Roman" w:hAnsi="Times New Roman" w:cs="Times New Roman"/>
                <w:b/>
                <w:spacing w:val="2"/>
                <w:sz w:val="24"/>
                <w:szCs w:val="24"/>
              </w:rPr>
              <w:t>по объектам, финансируемым за счет бюджетных средств.</w:t>
            </w:r>
          </w:p>
        </w:tc>
        <w:tc>
          <w:tcPr>
            <w:tcW w:w="3260" w:type="dxa"/>
            <w:shd w:val="clear" w:color="auto" w:fill="auto"/>
          </w:tcPr>
          <w:p w14:paraId="0034F563" w14:textId="70BB2265" w:rsidR="0005703A" w:rsidRPr="00BD2699" w:rsidRDefault="0005703A" w:rsidP="0005703A">
            <w:pPr>
              <w:ind w:firstLine="320"/>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При среднем ремонте автомобильных дорог, документом, подтверждающим опыт работы, является акт выполненных работ.</w:t>
            </w:r>
          </w:p>
          <w:p w14:paraId="4B95D21B" w14:textId="392F27F3" w:rsidR="0005703A" w:rsidRPr="00BD2699" w:rsidRDefault="0005703A" w:rsidP="0005703A">
            <w:pPr>
              <w:ind w:firstLine="320"/>
              <w:jc w:val="both"/>
              <w:rPr>
                <w:rFonts w:ascii="Times New Roman" w:hAnsi="Times New Roman" w:cs="Times New Roman"/>
                <w:spacing w:val="2"/>
                <w:sz w:val="24"/>
                <w:szCs w:val="24"/>
              </w:rPr>
            </w:pPr>
          </w:p>
        </w:tc>
      </w:tr>
      <w:tr w:rsidR="00B04764" w:rsidRPr="00BD2699" w14:paraId="7DDAD875" w14:textId="77777777" w:rsidTr="007D6304">
        <w:trPr>
          <w:gridAfter w:val="1"/>
          <w:wAfter w:w="18" w:type="dxa"/>
          <w:trHeight w:val="407"/>
        </w:trPr>
        <w:tc>
          <w:tcPr>
            <w:tcW w:w="605" w:type="dxa"/>
            <w:shd w:val="clear" w:color="auto" w:fill="auto"/>
          </w:tcPr>
          <w:p w14:paraId="510AB926"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236DBA94" w14:textId="76EAE1DB" w:rsidR="00B04764" w:rsidRPr="00BD2699" w:rsidRDefault="00B04764" w:rsidP="00B04764">
            <w:pPr>
              <w:jc w:val="center"/>
              <w:rPr>
                <w:rFonts w:ascii="Times New Roman" w:hAnsi="Times New Roman" w:cs="Times New Roman"/>
                <w:sz w:val="24"/>
                <w:szCs w:val="24"/>
              </w:rPr>
            </w:pPr>
            <w:r w:rsidRPr="00BD2699">
              <w:rPr>
                <w:rFonts w:ascii="Times New Roman" w:hAnsi="Times New Roman" w:cs="Times New Roman"/>
                <w:sz w:val="24"/>
                <w:szCs w:val="24"/>
              </w:rPr>
              <w:t>Пункт 289-2 Правил</w:t>
            </w:r>
          </w:p>
        </w:tc>
        <w:tc>
          <w:tcPr>
            <w:tcW w:w="4950" w:type="dxa"/>
            <w:shd w:val="clear" w:color="auto" w:fill="auto"/>
          </w:tcPr>
          <w:p w14:paraId="6D094469"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 xml:space="preserve">289-2.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определяется веб-порталом автоматически на основе сведений органов государственных доходов по месту сдачи первоначальной/очередной налоговой отчетности за последний рассчитываемый </w:t>
            </w:r>
            <w:r w:rsidRPr="00BD2699">
              <w:rPr>
                <w:rFonts w:ascii="Times New Roman" w:hAnsi="Times New Roman" w:cs="Times New Roman"/>
                <w:color w:val="000000"/>
                <w:spacing w:val="2"/>
                <w:sz w:val="24"/>
                <w:szCs w:val="24"/>
              </w:rPr>
              <w:lastRenderedPageBreak/>
              <w:t>год трехлетнего периода представленных не позднее 1 октября, предшествующего году применения данных сведений для целей определения финансовой устойчивости потенциального поставщика.</w:t>
            </w:r>
          </w:p>
          <w:p w14:paraId="3E0E1E48" w14:textId="17925BE5"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color w:val="000000"/>
                <w:spacing w:val="2"/>
                <w:sz w:val="24"/>
                <w:szCs w:val="24"/>
              </w:rPr>
              <w:t xml:space="preserve">Сведения органов государственных доходов, обновляются на веб-портале один раз в течение календарного года не позднее 1 октября, предшествующего году применения данных сведений для целей определения финансовой устойчивости потенциального поставщика. </w:t>
            </w:r>
          </w:p>
        </w:tc>
        <w:tc>
          <w:tcPr>
            <w:tcW w:w="5245" w:type="dxa"/>
            <w:shd w:val="clear" w:color="auto" w:fill="auto"/>
          </w:tcPr>
          <w:p w14:paraId="64DC1B75"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lastRenderedPageBreak/>
              <w:t xml:space="preserve">289-2.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определяется веб-порталом автоматически на основе сведений органов государственных доходов по месту сдачи первоначальной/очередной налоговой отчетности за последний рассчитываемый год </w:t>
            </w:r>
            <w:r w:rsidRPr="00BD2699">
              <w:rPr>
                <w:rFonts w:ascii="Times New Roman" w:hAnsi="Times New Roman" w:cs="Times New Roman"/>
                <w:color w:val="000000"/>
                <w:spacing w:val="2"/>
                <w:sz w:val="24"/>
                <w:szCs w:val="24"/>
              </w:rPr>
              <w:lastRenderedPageBreak/>
              <w:t>трехлетнего периода представленных не позднее 1 октября, предшествующего году применения данных сведений для целей определения финансовой устойчивости потенциального поставщика.</w:t>
            </w:r>
          </w:p>
          <w:p w14:paraId="6B164B57"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Сведения органов государственных доходов, обновляются на веб-портале один раз в течение календарного года не позднее 1 октября, предшествующего году применения данных сведений для целей определения финансовой устойчивости потенциального поставщика.</w:t>
            </w:r>
          </w:p>
          <w:p w14:paraId="24002056" w14:textId="77777777" w:rsidR="00B04764" w:rsidRPr="00BD2699" w:rsidRDefault="00B04764" w:rsidP="00B04764">
            <w:pPr>
              <w:ind w:firstLine="446"/>
              <w:jc w:val="both"/>
              <w:rPr>
                <w:rFonts w:ascii="Times New Roman" w:hAnsi="Times New Roman" w:cs="Times New Roman"/>
                <w:b/>
                <w:color w:val="000000"/>
                <w:spacing w:val="2"/>
                <w:sz w:val="24"/>
                <w:szCs w:val="24"/>
              </w:rPr>
            </w:pPr>
            <w:r w:rsidRPr="00BD2699">
              <w:rPr>
                <w:rFonts w:ascii="Times New Roman" w:hAnsi="Times New Roman" w:cs="Times New Roman"/>
                <w:b/>
                <w:color w:val="000000"/>
                <w:spacing w:val="2"/>
                <w:sz w:val="24"/>
                <w:szCs w:val="24"/>
              </w:rPr>
              <w:t>Нахождение потенциального поставщика в границах города республиканского значения и столицы является равнозначным нахождению его в соответствующей административно-территориальной единице в границах области.</w:t>
            </w:r>
          </w:p>
          <w:p w14:paraId="6E391BEC" w14:textId="5F7C1457" w:rsidR="00B04764" w:rsidRPr="00BD2699" w:rsidRDefault="00B04764" w:rsidP="00BD2699">
            <w:pPr>
              <w:ind w:firstLine="446"/>
              <w:jc w:val="both"/>
              <w:rPr>
                <w:rFonts w:ascii="Times New Roman" w:hAnsi="Times New Roman" w:cs="Times New Roman"/>
                <w:b/>
                <w:color w:val="000000"/>
                <w:spacing w:val="2"/>
                <w:sz w:val="24"/>
                <w:szCs w:val="24"/>
              </w:rPr>
            </w:pPr>
            <w:r w:rsidRPr="00BD2699">
              <w:rPr>
                <w:rFonts w:ascii="Times New Roman" w:hAnsi="Times New Roman" w:cs="Times New Roman"/>
                <w:b/>
                <w:color w:val="000000"/>
                <w:spacing w:val="2"/>
                <w:sz w:val="24"/>
                <w:szCs w:val="24"/>
              </w:rPr>
              <w:t>При этом, нахождение потенциального поставщика в соответствующей административно-территориальной единице в границах области, на которой находится столица или город республиканского значения является равнозначным с нахождением его в границах города республиканского значения и столицы.</w:t>
            </w:r>
          </w:p>
        </w:tc>
        <w:tc>
          <w:tcPr>
            <w:tcW w:w="3260" w:type="dxa"/>
            <w:shd w:val="clear" w:color="auto" w:fill="auto"/>
          </w:tcPr>
          <w:p w14:paraId="1FF10F0B" w14:textId="0824888E" w:rsidR="00B04764" w:rsidRPr="00BD2699" w:rsidRDefault="00B04764" w:rsidP="00B04764">
            <w:pPr>
              <w:ind w:firstLine="320"/>
              <w:jc w:val="both"/>
              <w:rPr>
                <w:rFonts w:ascii="Times New Roman" w:hAnsi="Times New Roman" w:cs="Times New Roman"/>
                <w:spacing w:val="2"/>
                <w:sz w:val="24"/>
                <w:szCs w:val="24"/>
              </w:rPr>
            </w:pPr>
            <w:r w:rsidRPr="00BD2699">
              <w:rPr>
                <w:rFonts w:ascii="Times New Roman" w:hAnsi="Times New Roman" w:cs="Times New Roman"/>
                <w:color w:val="000000"/>
                <w:spacing w:val="2"/>
                <w:sz w:val="24"/>
                <w:szCs w:val="24"/>
              </w:rPr>
              <w:lastRenderedPageBreak/>
              <w:t xml:space="preserve">В целях расширения конкурентной среды, а также предоставления возможности присвоения условной скидки потенциальным поставщикам, </w:t>
            </w:r>
            <w:proofErr w:type="gramStart"/>
            <w:r w:rsidRPr="00BD2699">
              <w:rPr>
                <w:rFonts w:ascii="Times New Roman" w:hAnsi="Times New Roman" w:cs="Times New Roman"/>
                <w:color w:val="000000"/>
                <w:spacing w:val="2"/>
                <w:sz w:val="24"/>
                <w:szCs w:val="24"/>
              </w:rPr>
              <w:t>к примеру</w:t>
            </w:r>
            <w:proofErr w:type="gramEnd"/>
            <w:r w:rsidRPr="00BD2699">
              <w:rPr>
                <w:rFonts w:ascii="Times New Roman" w:hAnsi="Times New Roman" w:cs="Times New Roman"/>
                <w:color w:val="000000"/>
                <w:spacing w:val="2"/>
                <w:sz w:val="24"/>
                <w:szCs w:val="24"/>
              </w:rPr>
              <w:t xml:space="preserve"> зарегистрированным в </w:t>
            </w:r>
            <w:proofErr w:type="spellStart"/>
            <w:r w:rsidRPr="00BD2699">
              <w:rPr>
                <w:rFonts w:ascii="Times New Roman" w:hAnsi="Times New Roman" w:cs="Times New Roman"/>
                <w:color w:val="000000"/>
                <w:spacing w:val="2"/>
                <w:sz w:val="24"/>
                <w:szCs w:val="24"/>
              </w:rPr>
              <w:t>Акмолинской</w:t>
            </w:r>
            <w:proofErr w:type="spellEnd"/>
            <w:r w:rsidRPr="00BD2699">
              <w:rPr>
                <w:rFonts w:ascii="Times New Roman" w:hAnsi="Times New Roman" w:cs="Times New Roman"/>
                <w:color w:val="000000"/>
                <w:spacing w:val="2"/>
                <w:sz w:val="24"/>
                <w:szCs w:val="24"/>
              </w:rPr>
              <w:t xml:space="preserve"> области участвующим в </w:t>
            </w:r>
            <w:r w:rsidRPr="00BD2699">
              <w:rPr>
                <w:rFonts w:ascii="Times New Roman" w:hAnsi="Times New Roman" w:cs="Times New Roman"/>
                <w:color w:val="000000"/>
                <w:spacing w:val="2"/>
                <w:sz w:val="24"/>
                <w:szCs w:val="24"/>
              </w:rPr>
              <w:lastRenderedPageBreak/>
              <w:t xml:space="preserve">государственных закупках в </w:t>
            </w:r>
            <w:proofErr w:type="spellStart"/>
            <w:r w:rsidRPr="00BD2699">
              <w:rPr>
                <w:rFonts w:ascii="Times New Roman" w:hAnsi="Times New Roman" w:cs="Times New Roman"/>
                <w:color w:val="000000"/>
                <w:spacing w:val="2"/>
                <w:sz w:val="24"/>
                <w:szCs w:val="24"/>
              </w:rPr>
              <w:t>г.Астана</w:t>
            </w:r>
            <w:proofErr w:type="spellEnd"/>
            <w:r w:rsidRPr="00BD2699">
              <w:rPr>
                <w:rFonts w:ascii="Times New Roman" w:hAnsi="Times New Roman" w:cs="Times New Roman"/>
                <w:color w:val="000000"/>
                <w:spacing w:val="2"/>
                <w:sz w:val="24"/>
                <w:szCs w:val="24"/>
              </w:rPr>
              <w:t xml:space="preserve">. </w:t>
            </w:r>
          </w:p>
        </w:tc>
      </w:tr>
      <w:tr w:rsidR="00B04764" w:rsidRPr="00BD2699" w14:paraId="5734FC9E" w14:textId="77777777" w:rsidTr="007D6304">
        <w:trPr>
          <w:gridAfter w:val="1"/>
          <w:wAfter w:w="18" w:type="dxa"/>
          <w:trHeight w:val="407"/>
        </w:trPr>
        <w:tc>
          <w:tcPr>
            <w:tcW w:w="605" w:type="dxa"/>
            <w:shd w:val="clear" w:color="auto" w:fill="auto"/>
          </w:tcPr>
          <w:p w14:paraId="10B46F74"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75246697" w14:textId="1651109D" w:rsidR="00B04764" w:rsidRPr="00BD2699" w:rsidRDefault="00B04764" w:rsidP="00B04764">
            <w:pPr>
              <w:jc w:val="center"/>
              <w:rPr>
                <w:rFonts w:ascii="Times New Roman" w:hAnsi="Times New Roman" w:cs="Times New Roman"/>
                <w:sz w:val="24"/>
                <w:szCs w:val="24"/>
              </w:rPr>
            </w:pPr>
            <w:r w:rsidRPr="00BD2699">
              <w:rPr>
                <w:rFonts w:ascii="Times New Roman" w:hAnsi="Times New Roman" w:cs="Times New Roman"/>
                <w:sz w:val="24"/>
                <w:szCs w:val="24"/>
              </w:rPr>
              <w:t xml:space="preserve">Пункт 293 Правил </w:t>
            </w:r>
          </w:p>
        </w:tc>
        <w:tc>
          <w:tcPr>
            <w:tcW w:w="4950" w:type="dxa"/>
            <w:shd w:val="clear" w:color="auto" w:fill="auto"/>
          </w:tcPr>
          <w:p w14:paraId="3EF71347"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293. При равенстве условных цен конкурсных ценовых предложений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27AB6622"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lastRenderedPageBreak/>
              <w:t>Для целей настоящих Правил расчет показателя финансовой устойчивости потенциального поставщика определяется веб-порталом автоматически согласно данным информационных систем органов государственных доходов по формуле расчета показателя финансовой устойчивости согласно приложениям 11, 11-1, 11-2 и 11-3 к настоящим Правилам.</w:t>
            </w:r>
          </w:p>
          <w:p w14:paraId="7579E9EF"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 xml:space="preserve">При равенстве показателей финансовой устойчивости победителем признается участник конкурса, </w:t>
            </w:r>
            <w:r w:rsidRPr="00BD2699">
              <w:rPr>
                <w:rFonts w:ascii="Times New Roman" w:hAnsi="Times New Roman" w:cs="Times New Roman"/>
                <w:b/>
                <w:color w:val="000000"/>
                <w:spacing w:val="2"/>
                <w:sz w:val="24"/>
                <w:szCs w:val="24"/>
              </w:rPr>
              <w:t>заявка на участие, которого поступила ранее заявок на участие в конкурсе других потенциальных поставщиков</w:t>
            </w:r>
            <w:r w:rsidRPr="00BD2699">
              <w:rPr>
                <w:rFonts w:ascii="Times New Roman" w:hAnsi="Times New Roman" w:cs="Times New Roman"/>
                <w:color w:val="000000"/>
                <w:spacing w:val="2"/>
                <w:sz w:val="24"/>
                <w:szCs w:val="24"/>
              </w:rPr>
              <w:t>.</w:t>
            </w:r>
          </w:p>
          <w:p w14:paraId="1080AA91" w14:textId="1549D8C3" w:rsidR="00B04764" w:rsidRPr="00BD2699" w:rsidRDefault="00B04764" w:rsidP="00B04764">
            <w:pPr>
              <w:ind w:firstLine="446"/>
              <w:jc w:val="both"/>
              <w:rPr>
                <w:rFonts w:ascii="Times New Roman" w:hAnsi="Times New Roman" w:cs="Times New Roman"/>
                <w:color w:val="000000"/>
                <w:spacing w:val="2"/>
                <w:sz w:val="24"/>
                <w:szCs w:val="24"/>
              </w:rPr>
            </w:pPr>
          </w:p>
        </w:tc>
        <w:tc>
          <w:tcPr>
            <w:tcW w:w="5245" w:type="dxa"/>
            <w:shd w:val="clear" w:color="auto" w:fill="auto"/>
          </w:tcPr>
          <w:p w14:paraId="61106FE1"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lastRenderedPageBreak/>
              <w:t>293. При равенстве условных цен конкурсных ценовых предложений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4EA106E5"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lastRenderedPageBreak/>
              <w:t>Для целей настоящих Правил расчет показателя финансовой устойчивости потенциального поставщика определяется веб-порталом автоматически согласно данным информационных систем органов государственных доходов по формуле расчета показателя финансовой устойчивости согласно приложениям 11, 11-1, 11-2 и 11-3 к настоящим Правилам.</w:t>
            </w:r>
          </w:p>
          <w:p w14:paraId="12925836" w14:textId="77777777" w:rsidR="00B04764" w:rsidRPr="00BD2699" w:rsidRDefault="00B04764" w:rsidP="00B04764">
            <w:pPr>
              <w:ind w:firstLine="446"/>
              <w:jc w:val="both"/>
              <w:rPr>
                <w:rFonts w:ascii="Times New Roman" w:hAnsi="Times New Roman" w:cs="Times New Roman"/>
                <w:b/>
                <w:color w:val="000000"/>
                <w:spacing w:val="2"/>
                <w:sz w:val="24"/>
                <w:szCs w:val="24"/>
              </w:rPr>
            </w:pPr>
            <w:r w:rsidRPr="00BD2699">
              <w:rPr>
                <w:rFonts w:ascii="Times New Roman" w:hAnsi="Times New Roman" w:cs="Times New Roman"/>
                <w:color w:val="000000"/>
                <w:spacing w:val="2"/>
                <w:sz w:val="24"/>
                <w:szCs w:val="24"/>
              </w:rPr>
              <w:t xml:space="preserve">При равенстве показателей финансовой устойчивости победителем признается участник конкурса, </w:t>
            </w:r>
            <w:r w:rsidRPr="00BD2699">
              <w:rPr>
                <w:rFonts w:ascii="Times New Roman" w:hAnsi="Times New Roman" w:cs="Times New Roman"/>
                <w:b/>
                <w:color w:val="000000"/>
                <w:spacing w:val="2"/>
                <w:sz w:val="24"/>
                <w:szCs w:val="24"/>
              </w:rPr>
              <w:t>с минимальной общей суммой договоров о государственных закупках, заключенных в текущем финансовом году.</w:t>
            </w:r>
          </w:p>
          <w:p w14:paraId="134EBB01" w14:textId="77777777"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b/>
                <w:color w:val="000000"/>
                <w:spacing w:val="2"/>
                <w:sz w:val="24"/>
                <w:szCs w:val="24"/>
              </w:rPr>
              <w:t xml:space="preserve">При равенстве общей суммы действующих договоров о государственных закупках, заключенных в текущем финансовом году, </w:t>
            </w:r>
            <w:r w:rsidRPr="00BD2699">
              <w:rPr>
                <w:rFonts w:ascii="Times New Roman" w:hAnsi="Times New Roman" w:cs="Times New Roman"/>
                <w:color w:val="000000"/>
                <w:spacing w:val="2"/>
                <w:sz w:val="24"/>
                <w:szCs w:val="24"/>
              </w:rPr>
              <w:t>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331C2BF5" w14:textId="67724CFC" w:rsidR="00B04764" w:rsidRPr="00BD2699" w:rsidRDefault="00B04764" w:rsidP="00B04764">
            <w:pPr>
              <w:ind w:firstLine="446"/>
              <w:jc w:val="both"/>
              <w:rPr>
                <w:rFonts w:ascii="Times New Roman" w:hAnsi="Times New Roman" w:cs="Times New Roman"/>
                <w:color w:val="000000"/>
                <w:spacing w:val="2"/>
                <w:sz w:val="24"/>
                <w:szCs w:val="24"/>
              </w:rPr>
            </w:pPr>
          </w:p>
        </w:tc>
        <w:tc>
          <w:tcPr>
            <w:tcW w:w="3260" w:type="dxa"/>
            <w:shd w:val="clear" w:color="auto" w:fill="auto"/>
          </w:tcPr>
          <w:p w14:paraId="4E68CF5B" w14:textId="77777777" w:rsidR="00B04764" w:rsidRPr="00BD2699" w:rsidRDefault="00B04764" w:rsidP="00B04764">
            <w:pPr>
              <w:ind w:firstLine="320"/>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lastRenderedPageBreak/>
              <w:t>В соответствии с предложениями КДС ЖКХ МИИР РК, предлагается установить дополнительные меры по демонополизации строительного рынка.</w:t>
            </w:r>
          </w:p>
          <w:p w14:paraId="25E7C687" w14:textId="77777777" w:rsidR="00B04764" w:rsidRPr="00BD2699" w:rsidRDefault="00B04764" w:rsidP="00B04764">
            <w:pPr>
              <w:ind w:firstLine="320"/>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 xml:space="preserve">Предлагаемые меры обеспечат справедливое распределение объемов </w:t>
            </w:r>
            <w:r w:rsidRPr="00BD2699">
              <w:rPr>
                <w:rFonts w:ascii="Times New Roman" w:hAnsi="Times New Roman" w:cs="Times New Roman"/>
                <w:color w:val="000000"/>
                <w:spacing w:val="2"/>
                <w:sz w:val="24"/>
                <w:szCs w:val="24"/>
              </w:rPr>
              <w:lastRenderedPageBreak/>
              <w:t>государственных закупок среди потенциальных поставщиков, поспособствуют созданию равных условий, а также минимизируют случаи определения победителя по времени подачи заявки.</w:t>
            </w:r>
          </w:p>
          <w:p w14:paraId="5ACF2115" w14:textId="230925B8" w:rsidR="00B04764" w:rsidRPr="00BD2699" w:rsidRDefault="00B04764" w:rsidP="00B04764">
            <w:pPr>
              <w:ind w:firstLine="320"/>
              <w:jc w:val="both"/>
              <w:rPr>
                <w:rFonts w:ascii="Times New Roman" w:hAnsi="Times New Roman" w:cs="Times New Roman"/>
                <w:color w:val="000000"/>
                <w:spacing w:val="2"/>
                <w:sz w:val="24"/>
                <w:szCs w:val="24"/>
              </w:rPr>
            </w:pPr>
          </w:p>
        </w:tc>
      </w:tr>
      <w:tr w:rsidR="00B04764" w:rsidRPr="00BD2699" w14:paraId="521288BC" w14:textId="77777777" w:rsidTr="007D6304">
        <w:trPr>
          <w:gridAfter w:val="1"/>
          <w:wAfter w:w="18" w:type="dxa"/>
          <w:trHeight w:val="407"/>
        </w:trPr>
        <w:tc>
          <w:tcPr>
            <w:tcW w:w="605" w:type="dxa"/>
            <w:shd w:val="clear" w:color="auto" w:fill="auto"/>
          </w:tcPr>
          <w:p w14:paraId="7D52C44D"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6B41CA3C" w14:textId="362210C4" w:rsidR="00B04764" w:rsidRPr="00BD2699" w:rsidRDefault="00B04764" w:rsidP="00B04764">
            <w:pPr>
              <w:jc w:val="center"/>
              <w:rPr>
                <w:rFonts w:ascii="Times New Roman" w:hAnsi="Times New Roman" w:cs="Times New Roman"/>
                <w:sz w:val="24"/>
                <w:szCs w:val="24"/>
              </w:rPr>
            </w:pPr>
            <w:r w:rsidRPr="00BD2699">
              <w:rPr>
                <w:rFonts w:ascii="Times New Roman" w:hAnsi="Times New Roman" w:cs="Times New Roman"/>
                <w:sz w:val="24"/>
                <w:szCs w:val="24"/>
              </w:rPr>
              <w:t xml:space="preserve">Пункт 323 Правил </w:t>
            </w:r>
          </w:p>
        </w:tc>
        <w:tc>
          <w:tcPr>
            <w:tcW w:w="4950" w:type="dxa"/>
            <w:shd w:val="clear" w:color="auto" w:fill="auto"/>
          </w:tcPr>
          <w:p w14:paraId="55F86132" w14:textId="67267324" w:rsidR="00B04764" w:rsidRPr="00BD2699" w:rsidRDefault="00B04764" w:rsidP="00B04764">
            <w:pPr>
              <w:ind w:firstLine="446"/>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323. При уменьшении количества участников рамочного соглашения, в том числе по причине наличия ограничений, связанных с участием в государственных закупках, предусмотренных подпунктами 3), 4), 5), 6), 7), 8), 9) и 10) пункта 1 статьи 6 Закона, единый организатор по мере возникновения необходимости, проводит первый этап конкурса с использованием рамочного соглашения по наполнению (укомплектованию) участников рамочного соглашения.</w:t>
            </w:r>
          </w:p>
        </w:tc>
        <w:tc>
          <w:tcPr>
            <w:tcW w:w="5245" w:type="dxa"/>
            <w:shd w:val="clear" w:color="auto" w:fill="auto"/>
          </w:tcPr>
          <w:p w14:paraId="34B5AFAE" w14:textId="02CBB105" w:rsidR="00B04764" w:rsidRPr="00BD2699" w:rsidRDefault="00B04764" w:rsidP="00B04764">
            <w:pPr>
              <w:ind w:firstLine="446"/>
              <w:jc w:val="both"/>
              <w:rPr>
                <w:rFonts w:ascii="Times New Roman" w:hAnsi="Times New Roman" w:cs="Times New Roman"/>
                <w:b/>
                <w:color w:val="000000"/>
                <w:spacing w:val="2"/>
                <w:sz w:val="24"/>
                <w:szCs w:val="24"/>
              </w:rPr>
            </w:pPr>
            <w:r w:rsidRPr="00BD2699">
              <w:rPr>
                <w:rFonts w:ascii="Times New Roman" w:hAnsi="Times New Roman" w:cs="Times New Roman"/>
                <w:b/>
                <w:color w:val="000000"/>
                <w:spacing w:val="2"/>
                <w:sz w:val="24"/>
                <w:szCs w:val="24"/>
              </w:rPr>
              <w:t>323. При наличии ограничений, связанных с участием в государственных закупках, предусмотренных подпунктами 3), 4), 5), 6), 8), пункта 1 статьи 6 Закона, данные потенциальные поставщики не допускаются к участию второго этапа конкурса с использованием рамочного соглашения.</w:t>
            </w:r>
          </w:p>
        </w:tc>
        <w:tc>
          <w:tcPr>
            <w:tcW w:w="3260" w:type="dxa"/>
            <w:shd w:val="clear" w:color="auto" w:fill="auto"/>
          </w:tcPr>
          <w:p w14:paraId="709C88FD" w14:textId="114E9305" w:rsidR="00B04764" w:rsidRPr="00BD2699" w:rsidRDefault="00B04764" w:rsidP="00B04764">
            <w:pPr>
              <w:ind w:firstLine="320"/>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Порядок осуществления конкурса с использованием рамочных соглашений предусматривает проведение данного способа 2 этапами.</w:t>
            </w:r>
          </w:p>
          <w:p w14:paraId="4040466D" w14:textId="77777777" w:rsidR="00B04764" w:rsidRPr="00BD2699" w:rsidRDefault="00B04764" w:rsidP="00B04764">
            <w:pPr>
              <w:ind w:firstLine="320"/>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При этом, 1 этап признается состоявшимся даже в случае если прошел один участник, соответствующий квалификационным требованиям и (или) требованиям конкурсной документации.</w:t>
            </w:r>
          </w:p>
          <w:p w14:paraId="7CDA8874" w14:textId="77777777" w:rsidR="00B04764" w:rsidRPr="00BD2699" w:rsidRDefault="00B04764" w:rsidP="00B04764">
            <w:pPr>
              <w:ind w:firstLine="320"/>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lastRenderedPageBreak/>
              <w:t>2 этап конкурса с использованием рамочного соглашения признается несостоявшимся в случае если отсутствуют представленные конкурсные ценовые предложения.</w:t>
            </w:r>
          </w:p>
          <w:p w14:paraId="66B1C792" w14:textId="77777777" w:rsidR="00B04764" w:rsidRPr="00BD2699" w:rsidRDefault="00B04764" w:rsidP="00B04764">
            <w:pPr>
              <w:ind w:firstLine="320"/>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При этом, Правилами не установлены требования о необходимости наличия на 2 этапе полного количественного состава, определенного пунктом 314 Правил (5 участников).</w:t>
            </w:r>
          </w:p>
          <w:p w14:paraId="4D420893" w14:textId="77777777" w:rsidR="00B04764" w:rsidRPr="00BD2699" w:rsidRDefault="00B04764" w:rsidP="00B04764">
            <w:pPr>
              <w:ind w:firstLine="320"/>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Более того, в случае сокращения данного количества в связи с наличием ограничений, предусмотренных Законом, у организатора имеется право на проведение закупок любым другим способом.</w:t>
            </w:r>
          </w:p>
          <w:p w14:paraId="39216AFF" w14:textId="794FD5C0" w:rsidR="00B04764" w:rsidRPr="00BD2699" w:rsidRDefault="00B04764" w:rsidP="00B04764">
            <w:pPr>
              <w:ind w:firstLine="320"/>
              <w:jc w:val="both"/>
              <w:rPr>
                <w:rFonts w:ascii="Times New Roman" w:hAnsi="Times New Roman" w:cs="Times New Roman"/>
                <w:color w:val="000000"/>
                <w:spacing w:val="2"/>
                <w:sz w:val="24"/>
                <w:szCs w:val="24"/>
              </w:rPr>
            </w:pPr>
            <w:r w:rsidRPr="00BD2699">
              <w:rPr>
                <w:rFonts w:ascii="Times New Roman" w:hAnsi="Times New Roman" w:cs="Times New Roman"/>
                <w:color w:val="000000"/>
                <w:spacing w:val="2"/>
                <w:sz w:val="24"/>
                <w:szCs w:val="24"/>
              </w:rPr>
              <w:t>В этой связи, необходимость наполнения состава участников рамочного соглашения в Правилах отсутствует.</w:t>
            </w:r>
          </w:p>
        </w:tc>
      </w:tr>
      <w:tr w:rsidR="00B04764" w:rsidRPr="00BD2699" w14:paraId="1CA2C400" w14:textId="77777777" w:rsidTr="007D6304">
        <w:trPr>
          <w:gridAfter w:val="1"/>
          <w:wAfter w:w="18" w:type="dxa"/>
          <w:trHeight w:val="407"/>
        </w:trPr>
        <w:tc>
          <w:tcPr>
            <w:tcW w:w="605" w:type="dxa"/>
            <w:shd w:val="clear" w:color="auto" w:fill="auto"/>
          </w:tcPr>
          <w:p w14:paraId="1BC991A0"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1EE46924" w14:textId="77777777" w:rsidR="00B04764" w:rsidRPr="00BD2699" w:rsidRDefault="00B04764" w:rsidP="00B04764">
            <w:pPr>
              <w:jc w:val="center"/>
              <w:rPr>
                <w:rFonts w:ascii="Times New Roman" w:hAnsi="Times New Roman" w:cs="Times New Roman"/>
                <w:sz w:val="24"/>
                <w:szCs w:val="24"/>
              </w:rPr>
            </w:pPr>
            <w:r w:rsidRPr="00BD2699">
              <w:rPr>
                <w:rFonts w:ascii="Times New Roman" w:hAnsi="Times New Roman" w:cs="Times New Roman"/>
                <w:sz w:val="24"/>
                <w:szCs w:val="24"/>
              </w:rPr>
              <w:t xml:space="preserve">Пункт 477 Правил </w:t>
            </w:r>
          </w:p>
        </w:tc>
        <w:tc>
          <w:tcPr>
            <w:tcW w:w="4950" w:type="dxa"/>
            <w:shd w:val="clear" w:color="auto" w:fill="auto"/>
          </w:tcPr>
          <w:p w14:paraId="3BA23E87" w14:textId="77777777" w:rsidR="00B04764" w:rsidRPr="00BD2699" w:rsidRDefault="00B04764" w:rsidP="00B04764">
            <w:pPr>
              <w:ind w:firstLine="446"/>
              <w:jc w:val="both"/>
              <w:rPr>
                <w:rFonts w:ascii="Times New Roman" w:hAnsi="Times New Roman" w:cs="Times New Roman"/>
                <w:sz w:val="24"/>
                <w:szCs w:val="24"/>
              </w:rPr>
            </w:pPr>
            <w:r w:rsidRPr="00BD2699">
              <w:rPr>
                <w:rFonts w:ascii="Times New Roman" w:hAnsi="Times New Roman" w:cs="Times New Roman"/>
                <w:sz w:val="24"/>
                <w:szCs w:val="24"/>
              </w:rPr>
              <w:t xml:space="preserve">477. 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государственных закупках товаров, работ, услуг, согласно приложениям 33, 34, 35, 36 и 37 к настоящим Правилам, за исключением лица, имеющего ограничения, связанные с участием в </w:t>
            </w:r>
            <w:r w:rsidRPr="00BD2699">
              <w:rPr>
                <w:rFonts w:ascii="Times New Roman" w:hAnsi="Times New Roman" w:cs="Times New Roman"/>
                <w:sz w:val="24"/>
                <w:szCs w:val="24"/>
              </w:rPr>
              <w:lastRenderedPageBreak/>
              <w:t>государственных закупках, предусмотренные в статье 6 Закона:</w:t>
            </w:r>
          </w:p>
          <w:p w14:paraId="5A45A093" w14:textId="77777777" w:rsidR="00B04764" w:rsidRPr="00BD2699" w:rsidRDefault="00B04764" w:rsidP="00B04764">
            <w:pPr>
              <w:ind w:firstLine="446"/>
              <w:jc w:val="both"/>
              <w:rPr>
                <w:rFonts w:ascii="Times New Roman" w:hAnsi="Times New Roman" w:cs="Times New Roman"/>
                <w:sz w:val="24"/>
                <w:szCs w:val="24"/>
              </w:rPr>
            </w:pPr>
            <w:r w:rsidRPr="00BD2699">
              <w:rPr>
                <w:rFonts w:ascii="Times New Roman" w:hAnsi="Times New Roman" w:cs="Times New Roman"/>
                <w:sz w:val="24"/>
                <w:szCs w:val="24"/>
              </w:rPr>
              <w:t>1) в течение пяти рабочих дней со дня истечения срока на обжалование протокола об итогах государственных закупок способом конкурса (аукциона);</w:t>
            </w:r>
          </w:p>
          <w:p w14:paraId="3C2E17F2" w14:textId="77777777" w:rsidR="00B04764" w:rsidRPr="00BD2699" w:rsidRDefault="00B04764" w:rsidP="00B04764">
            <w:pPr>
              <w:ind w:firstLine="446"/>
              <w:jc w:val="both"/>
              <w:rPr>
                <w:rFonts w:ascii="Times New Roman" w:hAnsi="Times New Roman" w:cs="Times New Roman"/>
                <w:sz w:val="24"/>
                <w:szCs w:val="24"/>
              </w:rPr>
            </w:pPr>
            <w:r w:rsidRPr="00BD2699">
              <w:rPr>
                <w:rFonts w:ascii="Times New Roman" w:hAnsi="Times New Roman" w:cs="Times New Roman"/>
                <w:sz w:val="24"/>
                <w:szCs w:val="24"/>
              </w:rPr>
              <w:t>2) в течение пяти рабочих дней со дня определения победителя государственных закупок способом запроса ценовых предложений.</w:t>
            </w:r>
          </w:p>
          <w:p w14:paraId="4F597202" w14:textId="77777777" w:rsidR="00B04764" w:rsidRPr="00BD2699" w:rsidRDefault="00B04764" w:rsidP="00B04764">
            <w:pPr>
              <w:ind w:firstLine="446"/>
              <w:jc w:val="both"/>
              <w:rPr>
                <w:rFonts w:ascii="Times New Roman" w:hAnsi="Times New Roman" w:cs="Times New Roman"/>
                <w:sz w:val="24"/>
                <w:szCs w:val="24"/>
              </w:rPr>
            </w:pPr>
          </w:p>
        </w:tc>
        <w:tc>
          <w:tcPr>
            <w:tcW w:w="5245" w:type="dxa"/>
            <w:shd w:val="clear" w:color="auto" w:fill="auto"/>
          </w:tcPr>
          <w:p w14:paraId="3577A16D" w14:textId="77777777" w:rsidR="00B04764" w:rsidRPr="00BD2699" w:rsidRDefault="00B04764" w:rsidP="00B04764">
            <w:pPr>
              <w:ind w:firstLine="446"/>
              <w:jc w:val="both"/>
              <w:rPr>
                <w:rFonts w:ascii="Times New Roman" w:hAnsi="Times New Roman" w:cs="Times New Roman"/>
                <w:sz w:val="24"/>
                <w:szCs w:val="24"/>
              </w:rPr>
            </w:pPr>
            <w:r w:rsidRPr="00BD2699">
              <w:rPr>
                <w:rFonts w:ascii="Times New Roman" w:hAnsi="Times New Roman" w:cs="Times New Roman"/>
                <w:sz w:val="24"/>
                <w:szCs w:val="24"/>
              </w:rPr>
              <w:lastRenderedPageBreak/>
              <w:t xml:space="preserve">477. 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государственных закупках товаров, работ, услуг, согласно приложениям 33, 34, 35, 36 и 37 к настоящим Правилам, за исключением лица, имеющего ограничения, связанные с участием в </w:t>
            </w:r>
            <w:r w:rsidRPr="00BD2699">
              <w:rPr>
                <w:rFonts w:ascii="Times New Roman" w:hAnsi="Times New Roman" w:cs="Times New Roman"/>
                <w:sz w:val="24"/>
                <w:szCs w:val="24"/>
              </w:rPr>
              <w:lastRenderedPageBreak/>
              <w:t>государственных закупках, предусмотренные в статье 6 Закона:</w:t>
            </w:r>
          </w:p>
          <w:p w14:paraId="49789F40" w14:textId="77777777" w:rsidR="00B04764" w:rsidRPr="00BD2699" w:rsidRDefault="00B04764" w:rsidP="00B04764">
            <w:pPr>
              <w:ind w:firstLine="446"/>
              <w:jc w:val="both"/>
              <w:rPr>
                <w:rFonts w:ascii="Times New Roman" w:hAnsi="Times New Roman" w:cs="Times New Roman"/>
                <w:sz w:val="24"/>
                <w:szCs w:val="24"/>
              </w:rPr>
            </w:pPr>
            <w:r w:rsidRPr="00BD2699">
              <w:rPr>
                <w:rFonts w:ascii="Times New Roman" w:hAnsi="Times New Roman" w:cs="Times New Roman"/>
                <w:sz w:val="24"/>
                <w:szCs w:val="24"/>
              </w:rPr>
              <w:t>1) в течение пяти рабочих дней со дня истечения срока на обжалование протокола об итогах государственных закупок способом конкурса (аукциона);</w:t>
            </w:r>
          </w:p>
          <w:p w14:paraId="33822D1F" w14:textId="2001D30E" w:rsidR="00B04764" w:rsidRPr="00BD2699" w:rsidRDefault="00B04764" w:rsidP="00B04764">
            <w:pPr>
              <w:ind w:firstLine="446"/>
              <w:jc w:val="both"/>
              <w:rPr>
                <w:rFonts w:ascii="Times New Roman" w:hAnsi="Times New Roman" w:cs="Times New Roman"/>
                <w:b/>
                <w:sz w:val="24"/>
                <w:szCs w:val="24"/>
              </w:rPr>
            </w:pPr>
            <w:r w:rsidRPr="00BD2699">
              <w:rPr>
                <w:rFonts w:ascii="Times New Roman" w:hAnsi="Times New Roman" w:cs="Times New Roman"/>
                <w:b/>
                <w:sz w:val="24"/>
                <w:szCs w:val="24"/>
              </w:rPr>
              <w:t xml:space="preserve">2) в течение пяти рабочих дней со дня подведения протокола об итогах государственных закупок способом конкурса с использованием </w:t>
            </w:r>
            <w:proofErr w:type="spellStart"/>
            <w:r w:rsidRPr="00BD2699">
              <w:rPr>
                <w:rFonts w:ascii="Times New Roman" w:hAnsi="Times New Roman" w:cs="Times New Roman"/>
                <w:b/>
                <w:sz w:val="24"/>
                <w:szCs w:val="24"/>
              </w:rPr>
              <w:t>рейтингово</w:t>
            </w:r>
            <w:proofErr w:type="spellEnd"/>
            <w:r w:rsidRPr="00BD2699">
              <w:rPr>
                <w:rFonts w:ascii="Times New Roman" w:hAnsi="Times New Roman" w:cs="Times New Roman"/>
                <w:b/>
                <w:sz w:val="24"/>
                <w:szCs w:val="24"/>
              </w:rPr>
              <w:t xml:space="preserve">-балльной системы; </w:t>
            </w:r>
          </w:p>
          <w:p w14:paraId="2818F61A" w14:textId="6F13AF38" w:rsidR="00B04764" w:rsidRPr="00BD2699" w:rsidRDefault="00B04764" w:rsidP="00BD2699">
            <w:pPr>
              <w:ind w:firstLine="446"/>
              <w:jc w:val="both"/>
              <w:rPr>
                <w:rFonts w:ascii="Times New Roman" w:hAnsi="Times New Roman" w:cs="Times New Roman"/>
                <w:sz w:val="24"/>
                <w:szCs w:val="24"/>
              </w:rPr>
            </w:pPr>
            <w:r w:rsidRPr="00BD2699">
              <w:rPr>
                <w:rFonts w:ascii="Times New Roman" w:hAnsi="Times New Roman" w:cs="Times New Roman"/>
                <w:b/>
                <w:sz w:val="24"/>
                <w:szCs w:val="24"/>
              </w:rPr>
              <w:t>3)</w:t>
            </w:r>
            <w:r w:rsidRPr="00BD2699">
              <w:rPr>
                <w:rFonts w:ascii="Times New Roman" w:hAnsi="Times New Roman" w:cs="Times New Roman"/>
                <w:sz w:val="24"/>
                <w:szCs w:val="24"/>
              </w:rPr>
              <w:t xml:space="preserve"> в течение пяти рабочих дней со дня определения победителя государственных закупок способом запроса ценовых предложений.</w:t>
            </w:r>
          </w:p>
        </w:tc>
        <w:tc>
          <w:tcPr>
            <w:tcW w:w="3260" w:type="dxa"/>
            <w:shd w:val="clear" w:color="auto" w:fill="auto"/>
          </w:tcPr>
          <w:p w14:paraId="60A61531" w14:textId="77777777" w:rsidR="00B04764" w:rsidRPr="00BD2699" w:rsidRDefault="00B04764" w:rsidP="00B04764">
            <w:pPr>
              <w:ind w:firstLine="446"/>
              <w:jc w:val="both"/>
              <w:rPr>
                <w:rFonts w:ascii="Times New Roman" w:hAnsi="Times New Roman" w:cs="Times New Roman"/>
                <w:sz w:val="24"/>
                <w:szCs w:val="24"/>
              </w:rPr>
            </w:pPr>
            <w:r w:rsidRPr="00BD2699">
              <w:rPr>
                <w:rFonts w:ascii="Times New Roman" w:hAnsi="Times New Roman" w:cs="Times New Roman"/>
                <w:sz w:val="24"/>
                <w:szCs w:val="24"/>
              </w:rPr>
              <w:lastRenderedPageBreak/>
              <w:t xml:space="preserve">В соответствии с пунктом 333 Правил, итоги конкурса с использованием </w:t>
            </w:r>
            <w:proofErr w:type="spellStart"/>
            <w:r w:rsidRPr="00BD2699">
              <w:rPr>
                <w:rFonts w:ascii="Times New Roman" w:hAnsi="Times New Roman" w:cs="Times New Roman"/>
                <w:sz w:val="24"/>
                <w:szCs w:val="24"/>
              </w:rPr>
              <w:t>рейтингово</w:t>
            </w:r>
            <w:proofErr w:type="spellEnd"/>
            <w:r w:rsidRPr="00BD2699">
              <w:rPr>
                <w:rFonts w:ascii="Times New Roman" w:hAnsi="Times New Roman" w:cs="Times New Roman"/>
                <w:sz w:val="24"/>
                <w:szCs w:val="24"/>
              </w:rPr>
              <w:t>-бальной системы обжалованию в порядке статьи 47 Закона, не подлежат.</w:t>
            </w:r>
          </w:p>
          <w:p w14:paraId="5E87D928" w14:textId="29B3FF31" w:rsidR="00B04764" w:rsidRPr="00BD2699" w:rsidRDefault="00B04764" w:rsidP="00B04764">
            <w:pPr>
              <w:ind w:firstLine="446"/>
              <w:jc w:val="both"/>
              <w:rPr>
                <w:rFonts w:ascii="Times New Roman" w:hAnsi="Times New Roman" w:cs="Times New Roman"/>
                <w:sz w:val="24"/>
                <w:szCs w:val="24"/>
              </w:rPr>
            </w:pPr>
            <w:r w:rsidRPr="00BD2699">
              <w:rPr>
                <w:rFonts w:ascii="Times New Roman" w:hAnsi="Times New Roman" w:cs="Times New Roman"/>
                <w:sz w:val="24"/>
                <w:szCs w:val="24"/>
              </w:rPr>
              <w:t xml:space="preserve">В этой связи, предлагается направление </w:t>
            </w:r>
            <w:r w:rsidRPr="00BD2699">
              <w:rPr>
                <w:rFonts w:ascii="Times New Roman" w:hAnsi="Times New Roman" w:cs="Times New Roman"/>
                <w:sz w:val="24"/>
                <w:szCs w:val="24"/>
              </w:rPr>
              <w:lastRenderedPageBreak/>
              <w:t xml:space="preserve">договора в течение пяти рабочих дней со дня подведения протокола об итогах государственных закупок способом конкурса с использованием </w:t>
            </w:r>
            <w:proofErr w:type="spellStart"/>
            <w:r w:rsidRPr="00BD2699">
              <w:rPr>
                <w:rFonts w:ascii="Times New Roman" w:hAnsi="Times New Roman" w:cs="Times New Roman"/>
                <w:sz w:val="24"/>
                <w:szCs w:val="24"/>
              </w:rPr>
              <w:t>рейтингово</w:t>
            </w:r>
            <w:proofErr w:type="spellEnd"/>
            <w:r w:rsidRPr="00BD2699">
              <w:rPr>
                <w:rFonts w:ascii="Times New Roman" w:hAnsi="Times New Roman" w:cs="Times New Roman"/>
                <w:sz w:val="24"/>
                <w:szCs w:val="24"/>
              </w:rPr>
              <w:t>-балльной системы.</w:t>
            </w:r>
          </w:p>
        </w:tc>
      </w:tr>
      <w:tr w:rsidR="00B04764" w:rsidRPr="00BD2699" w14:paraId="2157848A" w14:textId="77777777" w:rsidTr="007D6304">
        <w:trPr>
          <w:gridAfter w:val="1"/>
          <w:wAfter w:w="18" w:type="dxa"/>
          <w:trHeight w:val="407"/>
        </w:trPr>
        <w:tc>
          <w:tcPr>
            <w:tcW w:w="605" w:type="dxa"/>
            <w:shd w:val="clear" w:color="auto" w:fill="auto"/>
          </w:tcPr>
          <w:p w14:paraId="68A2E812"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4CADDD72" w14:textId="68CF2F44" w:rsidR="00B04764" w:rsidRPr="00BD2699" w:rsidRDefault="00B04764" w:rsidP="00B04764">
            <w:pPr>
              <w:jc w:val="center"/>
              <w:rPr>
                <w:rFonts w:ascii="Times New Roman" w:hAnsi="Times New Roman" w:cs="Times New Roman"/>
                <w:sz w:val="24"/>
                <w:szCs w:val="24"/>
              </w:rPr>
            </w:pPr>
            <w:r w:rsidRPr="00BD2699">
              <w:rPr>
                <w:rFonts w:ascii="Times New Roman" w:hAnsi="Times New Roman" w:cs="Times New Roman"/>
                <w:sz w:val="24"/>
                <w:szCs w:val="24"/>
              </w:rPr>
              <w:t>приложение 11 к Правилам</w:t>
            </w:r>
          </w:p>
        </w:tc>
        <w:tc>
          <w:tcPr>
            <w:tcW w:w="4950" w:type="dxa"/>
            <w:shd w:val="clear" w:color="auto" w:fill="auto"/>
          </w:tcPr>
          <w:p w14:paraId="6F552DF3"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Приложение 11 </w:t>
            </w:r>
            <w:r w:rsidRPr="00BD2699">
              <w:rPr>
                <w:rFonts w:ascii="Times New Roman" w:eastAsia="Times New Roman" w:hAnsi="Times New Roman" w:cs="Times New Roman"/>
                <w:color w:val="000000" w:themeColor="text1"/>
                <w:sz w:val="24"/>
                <w:szCs w:val="24"/>
              </w:rPr>
              <w:br/>
              <w:t>к Правилам осуществления</w:t>
            </w:r>
            <w:r w:rsidRPr="00BD2699">
              <w:rPr>
                <w:rFonts w:ascii="Times New Roman" w:eastAsia="Times New Roman" w:hAnsi="Times New Roman" w:cs="Times New Roman"/>
                <w:color w:val="000000" w:themeColor="text1"/>
                <w:sz w:val="24"/>
                <w:szCs w:val="24"/>
              </w:rPr>
              <w:br/>
              <w:t>государственных закупок</w:t>
            </w:r>
          </w:p>
          <w:p w14:paraId="31D0B2D9" w14:textId="77777777" w:rsidR="00B04764" w:rsidRPr="00BD2699" w:rsidRDefault="00B04764" w:rsidP="00B04764">
            <w:pPr>
              <w:ind w:left="6096"/>
              <w:jc w:val="center"/>
              <w:rPr>
                <w:rFonts w:ascii="Times New Roman" w:eastAsia="Times New Roman" w:hAnsi="Times New Roman" w:cs="Times New Roman"/>
                <w:sz w:val="28"/>
                <w:szCs w:val="28"/>
              </w:rPr>
            </w:pPr>
            <w:r w:rsidRPr="00BD2699">
              <w:rPr>
                <w:rFonts w:ascii="Times New Roman" w:eastAsia="Times New Roman" w:hAnsi="Times New Roman" w:cs="Times New Roman"/>
                <w:color w:val="000000"/>
                <w:sz w:val="28"/>
                <w:szCs w:val="28"/>
              </w:rPr>
              <w:t>л</w:t>
            </w:r>
          </w:p>
          <w:p w14:paraId="2E69F424" w14:textId="77777777" w:rsidR="00B04764" w:rsidRPr="00BD2699" w:rsidRDefault="00B04764" w:rsidP="00B04764">
            <w:pPr>
              <w:jc w:val="center"/>
              <w:rPr>
                <w:rFonts w:ascii="Times New Roman" w:eastAsia="Times New Roman" w:hAnsi="Times New Roman" w:cs="Times New Roman"/>
                <w:sz w:val="28"/>
                <w:szCs w:val="28"/>
              </w:rPr>
            </w:pPr>
          </w:p>
          <w:p w14:paraId="31C7E398" w14:textId="77777777" w:rsidR="00B04764" w:rsidRPr="00BD2699" w:rsidRDefault="00B04764" w:rsidP="00B04764">
            <w:pPr>
              <w:jc w:val="center"/>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 xml:space="preserve">Формула </w:t>
            </w:r>
          </w:p>
          <w:p w14:paraId="5C7301E1" w14:textId="77777777" w:rsidR="00B04764" w:rsidRPr="00BD2699" w:rsidRDefault="00B04764" w:rsidP="00B04764">
            <w:pPr>
              <w:jc w:val="center"/>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расчета показателя финансовой устойчивости</w:t>
            </w:r>
          </w:p>
          <w:p w14:paraId="431BEF67" w14:textId="77777777" w:rsidR="00B04764" w:rsidRPr="00BD2699" w:rsidRDefault="00B04764" w:rsidP="00B04764">
            <w:pPr>
              <w:ind w:firstLine="393"/>
              <w:jc w:val="both"/>
              <w:rPr>
                <w:rFonts w:ascii="Times New Roman" w:eastAsia="Times New Roman" w:hAnsi="Times New Roman" w:cs="Times New Roman"/>
                <w:sz w:val="24"/>
                <w:szCs w:val="28"/>
              </w:rPr>
            </w:pPr>
          </w:p>
          <w:p w14:paraId="21BC1404"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ПФУ = ПД + ПУН + ПФОТ,</w:t>
            </w:r>
          </w:p>
          <w:p w14:paraId="4758AFE0"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где:</w:t>
            </w:r>
          </w:p>
          <w:p w14:paraId="305FF6B9"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ПФУ – показатель финансовой устойчивости потенциального поставщика;</w:t>
            </w:r>
          </w:p>
          <w:p w14:paraId="6C88E295"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 xml:space="preserve">ПД – показатель дохода 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5A6963FD"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ПД = СД / СГЗ x 100%,</w:t>
            </w:r>
          </w:p>
          <w:p w14:paraId="182DD67A"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где:</w:t>
            </w:r>
          </w:p>
          <w:p w14:paraId="3189B993"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lastRenderedPageBreak/>
              <w:t xml:space="preserve">СД – сумма дохода 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предшествующих предыдущему году согласно данным информационных систем органов государственных доходов;</w:t>
            </w:r>
          </w:p>
          <w:p w14:paraId="0BA0F92C"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sz w:val="24"/>
                <w:szCs w:val="28"/>
              </w:rPr>
              <w:t xml:space="preserve">СГЗ – сумма государственной закупки (лота). </w:t>
            </w:r>
          </w:p>
          <w:p w14:paraId="3983CC60"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color w:val="000000"/>
                <w:spacing w:val="2"/>
                <w:sz w:val="24"/>
                <w:szCs w:val="28"/>
                <w:shd w:val="clear" w:color="auto" w:fill="FFFFFF"/>
              </w:rP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10444BFB"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sz w:val="24"/>
                <w:szCs w:val="28"/>
              </w:rPr>
              <w:t xml:space="preserve">ПУН – показатель уплаченных налогов в течение рассчитываемого трехлетнего периода в процентном соотношении, который рассчитывается в следующем порядке. </w:t>
            </w:r>
            <w:r w:rsidRPr="00BD2699">
              <w:rPr>
                <w:rFonts w:ascii="Times New Roman" w:eastAsia="Times New Roman" w:hAnsi="Times New Roman" w:cs="Times New Roman"/>
                <w:color w:val="000000"/>
                <w:spacing w:val="2"/>
                <w:sz w:val="24"/>
                <w:szCs w:val="28"/>
                <w:shd w:val="clear" w:color="auto" w:fill="FFFFFF"/>
              </w:rPr>
              <w:t xml:space="preserve"> </w:t>
            </w:r>
          </w:p>
          <w:p w14:paraId="27238C24"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color w:val="000000"/>
                <w:spacing w:val="2"/>
                <w:sz w:val="24"/>
                <w:szCs w:val="28"/>
                <w:shd w:val="clear" w:color="auto" w:fill="FFFFFF"/>
              </w:rPr>
              <w:t>ПУН = УН / СД х 100%,</w:t>
            </w:r>
          </w:p>
          <w:p w14:paraId="19C3FE26"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color w:val="000000"/>
                <w:spacing w:val="2"/>
                <w:sz w:val="24"/>
                <w:szCs w:val="28"/>
                <w:shd w:val="clear" w:color="auto" w:fill="FFFFFF"/>
              </w:rPr>
              <w:t>где:</w:t>
            </w:r>
          </w:p>
          <w:p w14:paraId="0EF9ACB5" w14:textId="77777777" w:rsidR="00B04764" w:rsidRPr="00BD2699" w:rsidRDefault="00B04764" w:rsidP="00B04764">
            <w:pPr>
              <w:ind w:firstLine="709"/>
              <w:jc w:val="both"/>
              <w:rPr>
                <w:rFonts w:ascii="Times New Roman" w:eastAsia="Times New Roman" w:hAnsi="Times New Roman" w:cs="Times New Roman"/>
                <w:color w:val="000000"/>
                <w:sz w:val="24"/>
                <w:szCs w:val="28"/>
              </w:rPr>
            </w:pPr>
            <w:r w:rsidRPr="00BD2699">
              <w:rPr>
                <w:rFonts w:ascii="Times New Roman" w:eastAsia="Times New Roman" w:hAnsi="Times New Roman" w:cs="Times New Roman"/>
                <w:color w:val="000000"/>
                <w:sz w:val="24"/>
                <w:szCs w:val="28"/>
              </w:rPr>
              <w:t xml:space="preserve">УН – сумма уплаченных налогов </w:t>
            </w:r>
            <w:r w:rsidRPr="00BD2699">
              <w:rPr>
                <w:rFonts w:ascii="Times New Roman" w:eastAsia="Times New Roman" w:hAnsi="Times New Roman" w:cs="Times New Roman"/>
                <w:b/>
                <w:color w:val="000000"/>
                <w:sz w:val="24"/>
                <w:szCs w:val="28"/>
              </w:rPr>
              <w:t>в течение</w:t>
            </w:r>
            <w:r w:rsidRPr="00BD2699">
              <w:rPr>
                <w:rFonts w:ascii="Times New Roman" w:eastAsia="Times New Roman" w:hAnsi="Times New Roman" w:cs="Times New Roman"/>
                <w:color w:val="000000"/>
                <w:sz w:val="24"/>
                <w:szCs w:val="28"/>
              </w:rPr>
              <w:t xml:space="preserve"> рассчитываем</w:t>
            </w:r>
            <w:r w:rsidRPr="00BD2699">
              <w:rPr>
                <w:rFonts w:ascii="Times New Roman" w:eastAsia="Times New Roman" w:hAnsi="Times New Roman" w:cs="Times New Roman"/>
                <w:b/>
                <w:color w:val="000000"/>
                <w:sz w:val="24"/>
                <w:szCs w:val="28"/>
              </w:rPr>
              <w:t>ого</w:t>
            </w:r>
            <w:r w:rsidRPr="00BD2699">
              <w:rPr>
                <w:rFonts w:ascii="Times New Roman" w:eastAsia="Times New Roman" w:hAnsi="Times New Roman" w:cs="Times New Roman"/>
                <w:color w:val="000000"/>
                <w:sz w:val="24"/>
                <w:szCs w:val="28"/>
              </w:rPr>
              <w:t xml:space="preserve"> трехлетн</w:t>
            </w:r>
            <w:r w:rsidRPr="00BD2699">
              <w:rPr>
                <w:rFonts w:ascii="Times New Roman" w:eastAsia="Times New Roman" w:hAnsi="Times New Roman" w:cs="Times New Roman"/>
                <w:b/>
                <w:color w:val="000000"/>
                <w:sz w:val="24"/>
                <w:szCs w:val="28"/>
              </w:rPr>
              <w:t>его</w:t>
            </w:r>
            <w:r w:rsidRPr="00BD2699">
              <w:rPr>
                <w:rFonts w:ascii="Times New Roman" w:eastAsia="Times New Roman" w:hAnsi="Times New Roman" w:cs="Times New Roman"/>
                <w:color w:val="000000"/>
                <w:sz w:val="24"/>
                <w:szCs w:val="28"/>
              </w:rPr>
              <w:t xml:space="preserve"> период</w:t>
            </w:r>
            <w:r w:rsidRPr="00BD2699">
              <w:rPr>
                <w:rFonts w:ascii="Times New Roman" w:eastAsia="Times New Roman" w:hAnsi="Times New Roman" w:cs="Times New Roman"/>
                <w:b/>
                <w:color w:val="000000"/>
                <w:sz w:val="24"/>
                <w:szCs w:val="28"/>
              </w:rPr>
              <w:t>а</w:t>
            </w:r>
            <w:r w:rsidRPr="00BD2699">
              <w:rPr>
                <w:rFonts w:ascii="Times New Roman" w:eastAsia="Times New Roman" w:hAnsi="Times New Roman" w:cs="Times New Roman"/>
                <w:color w:val="000000"/>
                <w:sz w:val="24"/>
                <w:szCs w:val="28"/>
              </w:rPr>
              <w:t>;</w:t>
            </w:r>
          </w:p>
          <w:p w14:paraId="1B635860"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 xml:space="preserve">СД – сумма дохода 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предшествующих предыдущему году согласно данным информационных систем органов государственных доходов;</w:t>
            </w:r>
          </w:p>
          <w:p w14:paraId="4D420C54"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color w:val="000000"/>
                <w:spacing w:val="2"/>
                <w:sz w:val="24"/>
                <w:szCs w:val="28"/>
                <w:shd w:val="clear" w:color="auto" w:fill="FFFFFF"/>
              </w:rPr>
              <w:t xml:space="preserve">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w:t>
            </w:r>
            <w:r w:rsidRPr="00BD2699">
              <w:rPr>
                <w:rFonts w:ascii="Times New Roman" w:eastAsia="Times New Roman" w:hAnsi="Times New Roman" w:cs="Times New Roman"/>
                <w:color w:val="000000"/>
                <w:spacing w:val="2"/>
                <w:sz w:val="24"/>
                <w:szCs w:val="28"/>
                <w:shd w:val="clear" w:color="auto" w:fill="FFFFFF"/>
              </w:rPr>
              <w:lastRenderedPageBreak/>
              <w:t>размере ноль целях пять десятых процента (0,5%).</w:t>
            </w:r>
          </w:p>
          <w:p w14:paraId="79DFC7DB"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color w:val="000000"/>
                <w:spacing w:val="2"/>
                <w:sz w:val="24"/>
                <w:szCs w:val="28"/>
                <w:shd w:val="clear" w:color="auto" w:fill="FFFFFF"/>
              </w:rPr>
              <w:t xml:space="preserve">ПФОТ – показатель фонда оплаты труда работников 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xml:space="preserve">,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 </w:t>
            </w:r>
          </w:p>
          <w:p w14:paraId="1903187E"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ПФОТ = ФОТ / СГЗ x 100%,</w:t>
            </w:r>
          </w:p>
          <w:p w14:paraId="26CF5E09"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где:</w:t>
            </w:r>
          </w:p>
          <w:p w14:paraId="7C5744F3"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 xml:space="preserve">ФОТ – сумма фонда оплаты труда 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предшествующих предыдущему году согласно данным информационных систем органов государственных доходов;</w:t>
            </w:r>
          </w:p>
          <w:p w14:paraId="3AFD1BA2"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СГЗ – сумма государственной закупки.</w:t>
            </w:r>
          </w:p>
          <w:p w14:paraId="1B19EB59"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color w:val="000000"/>
                <w:spacing w:val="2"/>
                <w:sz w:val="24"/>
                <w:szCs w:val="28"/>
                <w:shd w:val="clear" w:color="auto" w:fill="FFFFFF"/>
              </w:rPr>
              <w:t>В случае, 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p w14:paraId="4C667279"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1</w:t>
            </w:r>
          </w:p>
          <w:p w14:paraId="11426E31"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3C8A064C"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162069CE" w14:textId="77777777" w:rsidR="00B04764" w:rsidRPr="00BD2699" w:rsidRDefault="00B04764" w:rsidP="00B04764">
            <w:pPr>
              <w:ind w:firstLine="446"/>
              <w:rPr>
                <w:rFonts w:ascii="Times New Roman" w:eastAsia="Times New Roman" w:hAnsi="Times New Roman" w:cs="Times New Roman"/>
                <w:i/>
                <w:color w:val="000000" w:themeColor="text1"/>
                <w:sz w:val="24"/>
                <w:szCs w:val="24"/>
              </w:rPr>
            </w:pPr>
          </w:p>
          <w:p w14:paraId="7487AF4B"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145CB793"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43FB4876"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1A17AA57"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lastRenderedPageBreak/>
              <w:t xml:space="preserve">по закупкам, стоимость которых не превышает </w:t>
            </w:r>
            <w:proofErr w:type="spellStart"/>
            <w:r w:rsidRPr="00BD2699">
              <w:rPr>
                <w:rFonts w:ascii="Times New Roman" w:eastAsia="Times New Roman" w:hAnsi="Times New Roman" w:cs="Times New Roman"/>
                <w:color w:val="000000" w:themeColor="text1"/>
                <w:sz w:val="24"/>
                <w:szCs w:val="24"/>
              </w:rPr>
              <w:t>двухстатысячекратного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установленного на соответствующий финансовый год</w:t>
            </w:r>
          </w:p>
          <w:p w14:paraId="18EE8C6C"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830" w:type="dxa"/>
              <w:tblLayout w:type="fixed"/>
              <w:tblLook w:val="04A0" w:firstRow="1" w:lastRow="0" w:firstColumn="1" w:lastColumn="0" w:noHBand="0" w:noVBand="1"/>
            </w:tblPr>
            <w:tblGrid>
              <w:gridCol w:w="424"/>
              <w:gridCol w:w="1137"/>
              <w:gridCol w:w="1422"/>
              <w:gridCol w:w="924"/>
              <w:gridCol w:w="923"/>
            </w:tblGrid>
            <w:tr w:rsidR="00B04764" w:rsidRPr="00BD2699" w14:paraId="38B51CCA" w14:textId="77777777" w:rsidTr="00450A7E">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128DC34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37" w:type="dxa"/>
                  <w:tcBorders>
                    <w:top w:val="single" w:sz="4" w:space="0" w:color="auto"/>
                    <w:left w:val="nil"/>
                    <w:bottom w:val="single" w:sz="4" w:space="0" w:color="auto"/>
                    <w:right w:val="single" w:sz="4" w:space="0" w:color="auto"/>
                  </w:tcBorders>
                  <w:hideMark/>
                </w:tcPr>
                <w:p w14:paraId="638975E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422" w:type="dxa"/>
                  <w:tcBorders>
                    <w:top w:val="single" w:sz="4" w:space="0" w:color="auto"/>
                    <w:left w:val="nil"/>
                    <w:bottom w:val="single" w:sz="4" w:space="0" w:color="auto"/>
                    <w:right w:val="single" w:sz="4" w:space="0" w:color="auto"/>
                  </w:tcBorders>
                  <w:hideMark/>
                </w:tcPr>
                <w:p w14:paraId="2B7CE31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24" w:type="dxa"/>
                  <w:tcBorders>
                    <w:top w:val="single" w:sz="4" w:space="0" w:color="auto"/>
                    <w:left w:val="nil"/>
                    <w:bottom w:val="single" w:sz="4" w:space="0" w:color="auto"/>
                    <w:right w:val="single" w:sz="4" w:space="0" w:color="auto"/>
                  </w:tcBorders>
                  <w:hideMark/>
                </w:tcPr>
                <w:p w14:paraId="7121418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23" w:type="dxa"/>
                  <w:tcBorders>
                    <w:top w:val="single" w:sz="4" w:space="0" w:color="auto"/>
                    <w:left w:val="nil"/>
                    <w:bottom w:val="single" w:sz="4" w:space="0" w:color="auto"/>
                    <w:right w:val="single" w:sz="4" w:space="0" w:color="auto"/>
                  </w:tcBorders>
                  <w:hideMark/>
                </w:tcPr>
                <w:p w14:paraId="23DB8CC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1842F23A" w14:textId="77777777" w:rsidTr="00450A7E">
              <w:trPr>
                <w:trHeight w:val="300"/>
              </w:trPr>
              <w:tc>
                <w:tcPr>
                  <w:tcW w:w="424" w:type="dxa"/>
                  <w:tcBorders>
                    <w:top w:val="nil"/>
                    <w:left w:val="single" w:sz="4" w:space="0" w:color="auto"/>
                    <w:bottom w:val="single" w:sz="4" w:space="0" w:color="auto"/>
                    <w:right w:val="single" w:sz="4" w:space="0" w:color="auto"/>
                  </w:tcBorders>
                  <w:noWrap/>
                  <w:vAlign w:val="center"/>
                  <w:hideMark/>
                </w:tcPr>
                <w:p w14:paraId="171E517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37" w:type="dxa"/>
                  <w:tcBorders>
                    <w:top w:val="nil"/>
                    <w:left w:val="nil"/>
                    <w:bottom w:val="single" w:sz="4" w:space="0" w:color="auto"/>
                    <w:right w:val="single" w:sz="4" w:space="0" w:color="auto"/>
                  </w:tcBorders>
                  <w:noWrap/>
                  <w:vAlign w:val="bottom"/>
                  <w:hideMark/>
                </w:tcPr>
                <w:p w14:paraId="012730A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422" w:type="dxa"/>
                  <w:tcBorders>
                    <w:top w:val="nil"/>
                    <w:left w:val="nil"/>
                    <w:bottom w:val="single" w:sz="4" w:space="0" w:color="auto"/>
                    <w:right w:val="single" w:sz="4" w:space="0" w:color="auto"/>
                  </w:tcBorders>
                  <w:noWrap/>
                  <w:vAlign w:val="bottom"/>
                  <w:hideMark/>
                </w:tcPr>
                <w:p w14:paraId="5782068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24" w:type="dxa"/>
                  <w:tcBorders>
                    <w:top w:val="nil"/>
                    <w:left w:val="nil"/>
                    <w:bottom w:val="single" w:sz="4" w:space="0" w:color="auto"/>
                    <w:right w:val="single" w:sz="4" w:space="0" w:color="auto"/>
                  </w:tcBorders>
                  <w:vAlign w:val="bottom"/>
                  <w:hideMark/>
                </w:tcPr>
                <w:p w14:paraId="32423C8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23" w:type="dxa"/>
                  <w:tcBorders>
                    <w:top w:val="nil"/>
                    <w:left w:val="nil"/>
                    <w:bottom w:val="single" w:sz="4" w:space="0" w:color="auto"/>
                    <w:right w:val="single" w:sz="4" w:space="0" w:color="auto"/>
                  </w:tcBorders>
                  <w:vAlign w:val="bottom"/>
                  <w:hideMark/>
                </w:tcPr>
                <w:p w14:paraId="3219865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25%</w:t>
                  </w:r>
                </w:p>
              </w:tc>
            </w:tr>
            <w:tr w:rsidR="00B04764" w:rsidRPr="00BD2699" w14:paraId="2D9993E6" w14:textId="77777777" w:rsidTr="00450A7E">
              <w:trPr>
                <w:trHeight w:val="300"/>
              </w:trPr>
              <w:tc>
                <w:tcPr>
                  <w:tcW w:w="424" w:type="dxa"/>
                  <w:tcBorders>
                    <w:top w:val="nil"/>
                    <w:left w:val="single" w:sz="4" w:space="0" w:color="auto"/>
                    <w:bottom w:val="single" w:sz="4" w:space="0" w:color="auto"/>
                    <w:right w:val="single" w:sz="4" w:space="0" w:color="auto"/>
                  </w:tcBorders>
                  <w:noWrap/>
                  <w:vAlign w:val="center"/>
                  <w:hideMark/>
                </w:tcPr>
                <w:p w14:paraId="5B5346E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37" w:type="dxa"/>
                  <w:tcBorders>
                    <w:top w:val="nil"/>
                    <w:left w:val="nil"/>
                    <w:bottom w:val="single" w:sz="4" w:space="0" w:color="auto"/>
                    <w:right w:val="single" w:sz="4" w:space="0" w:color="auto"/>
                  </w:tcBorders>
                  <w:noWrap/>
                  <w:vAlign w:val="bottom"/>
                  <w:hideMark/>
                </w:tcPr>
                <w:p w14:paraId="24D3EFB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422" w:type="dxa"/>
                  <w:tcBorders>
                    <w:top w:val="nil"/>
                    <w:left w:val="nil"/>
                    <w:bottom w:val="single" w:sz="4" w:space="0" w:color="auto"/>
                    <w:right w:val="single" w:sz="4" w:space="0" w:color="auto"/>
                  </w:tcBorders>
                  <w:noWrap/>
                  <w:vAlign w:val="bottom"/>
                  <w:hideMark/>
                </w:tcPr>
                <w:p w14:paraId="71A063F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24" w:type="dxa"/>
                  <w:tcBorders>
                    <w:top w:val="nil"/>
                    <w:left w:val="nil"/>
                    <w:bottom w:val="single" w:sz="4" w:space="0" w:color="auto"/>
                    <w:right w:val="single" w:sz="4" w:space="0" w:color="auto"/>
                  </w:tcBorders>
                  <w:vAlign w:val="bottom"/>
                  <w:hideMark/>
                </w:tcPr>
                <w:p w14:paraId="31272FA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23" w:type="dxa"/>
                  <w:tcBorders>
                    <w:top w:val="nil"/>
                    <w:left w:val="nil"/>
                    <w:bottom w:val="single" w:sz="4" w:space="0" w:color="auto"/>
                    <w:right w:val="single" w:sz="4" w:space="0" w:color="auto"/>
                  </w:tcBorders>
                  <w:vAlign w:val="bottom"/>
                  <w:hideMark/>
                </w:tcPr>
                <w:p w14:paraId="475BF38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135%</w:t>
                  </w:r>
                </w:p>
              </w:tc>
            </w:tr>
            <w:tr w:rsidR="00B04764" w:rsidRPr="00BD2699" w14:paraId="27A04526" w14:textId="77777777" w:rsidTr="00450A7E">
              <w:trPr>
                <w:trHeight w:val="300"/>
              </w:trPr>
              <w:tc>
                <w:tcPr>
                  <w:tcW w:w="424" w:type="dxa"/>
                  <w:tcBorders>
                    <w:top w:val="nil"/>
                    <w:left w:val="single" w:sz="4" w:space="0" w:color="auto"/>
                    <w:bottom w:val="single" w:sz="4" w:space="0" w:color="auto"/>
                    <w:right w:val="single" w:sz="4" w:space="0" w:color="auto"/>
                  </w:tcBorders>
                  <w:noWrap/>
                  <w:vAlign w:val="center"/>
                  <w:hideMark/>
                </w:tcPr>
                <w:p w14:paraId="77CBB7F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37" w:type="dxa"/>
                  <w:tcBorders>
                    <w:top w:val="nil"/>
                    <w:left w:val="nil"/>
                    <w:bottom w:val="single" w:sz="4" w:space="0" w:color="auto"/>
                    <w:right w:val="single" w:sz="4" w:space="0" w:color="auto"/>
                  </w:tcBorders>
                  <w:noWrap/>
                  <w:vAlign w:val="bottom"/>
                  <w:hideMark/>
                </w:tcPr>
                <w:p w14:paraId="5D5C8D2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422" w:type="dxa"/>
                  <w:tcBorders>
                    <w:top w:val="nil"/>
                    <w:left w:val="nil"/>
                    <w:bottom w:val="single" w:sz="4" w:space="0" w:color="auto"/>
                    <w:right w:val="single" w:sz="4" w:space="0" w:color="auto"/>
                  </w:tcBorders>
                  <w:noWrap/>
                  <w:vAlign w:val="bottom"/>
                  <w:hideMark/>
                </w:tcPr>
                <w:p w14:paraId="429F69D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24" w:type="dxa"/>
                  <w:tcBorders>
                    <w:top w:val="nil"/>
                    <w:left w:val="nil"/>
                    <w:bottom w:val="single" w:sz="4" w:space="0" w:color="auto"/>
                    <w:right w:val="single" w:sz="4" w:space="0" w:color="auto"/>
                  </w:tcBorders>
                  <w:vAlign w:val="bottom"/>
                  <w:hideMark/>
                </w:tcPr>
                <w:p w14:paraId="78ABDC5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23" w:type="dxa"/>
                  <w:tcBorders>
                    <w:top w:val="nil"/>
                    <w:left w:val="nil"/>
                    <w:bottom w:val="single" w:sz="4" w:space="0" w:color="auto"/>
                    <w:right w:val="single" w:sz="4" w:space="0" w:color="auto"/>
                  </w:tcBorders>
                  <w:vAlign w:val="bottom"/>
                  <w:hideMark/>
                </w:tcPr>
                <w:p w14:paraId="74316FF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w:t>
                  </w:r>
                </w:p>
              </w:tc>
            </w:tr>
            <w:tr w:rsidR="00B04764" w:rsidRPr="00BD2699" w14:paraId="3D99441B" w14:textId="77777777" w:rsidTr="00450A7E">
              <w:trPr>
                <w:trHeight w:val="396"/>
              </w:trPr>
              <w:tc>
                <w:tcPr>
                  <w:tcW w:w="424" w:type="dxa"/>
                  <w:tcBorders>
                    <w:top w:val="nil"/>
                    <w:left w:val="single" w:sz="4" w:space="0" w:color="auto"/>
                    <w:bottom w:val="single" w:sz="4" w:space="0" w:color="auto"/>
                    <w:right w:val="single" w:sz="4" w:space="0" w:color="auto"/>
                  </w:tcBorders>
                  <w:noWrap/>
                  <w:vAlign w:val="bottom"/>
                  <w:hideMark/>
                </w:tcPr>
                <w:p w14:paraId="4A89792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37" w:type="dxa"/>
                  <w:tcBorders>
                    <w:top w:val="nil"/>
                    <w:left w:val="nil"/>
                    <w:bottom w:val="single" w:sz="4" w:space="0" w:color="auto"/>
                    <w:right w:val="single" w:sz="4" w:space="0" w:color="auto"/>
                  </w:tcBorders>
                  <w:noWrap/>
                  <w:vAlign w:val="bottom"/>
                  <w:hideMark/>
                </w:tcPr>
                <w:p w14:paraId="16F8B4EB"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422" w:type="dxa"/>
                  <w:tcBorders>
                    <w:top w:val="nil"/>
                    <w:left w:val="nil"/>
                    <w:bottom w:val="single" w:sz="4" w:space="0" w:color="auto"/>
                    <w:right w:val="single" w:sz="4" w:space="0" w:color="auto"/>
                  </w:tcBorders>
                  <w:noWrap/>
                  <w:vAlign w:val="bottom"/>
                  <w:hideMark/>
                </w:tcPr>
                <w:p w14:paraId="5E414B4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24" w:type="dxa"/>
                  <w:tcBorders>
                    <w:top w:val="nil"/>
                    <w:left w:val="nil"/>
                    <w:bottom w:val="single" w:sz="4" w:space="0" w:color="auto"/>
                    <w:right w:val="single" w:sz="4" w:space="0" w:color="auto"/>
                  </w:tcBorders>
                  <w:vAlign w:val="bottom"/>
                  <w:hideMark/>
                </w:tcPr>
                <w:p w14:paraId="09F0B2B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23" w:type="dxa"/>
                  <w:tcBorders>
                    <w:top w:val="nil"/>
                    <w:left w:val="nil"/>
                    <w:bottom w:val="single" w:sz="4" w:space="0" w:color="auto"/>
                    <w:right w:val="single" w:sz="4" w:space="0" w:color="auto"/>
                  </w:tcBorders>
                  <w:vAlign w:val="bottom"/>
                  <w:hideMark/>
                </w:tcPr>
                <w:p w14:paraId="7204CF8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210%</w:t>
                  </w:r>
                </w:p>
              </w:tc>
            </w:tr>
          </w:tbl>
          <w:p w14:paraId="3BD69B26"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330AC464"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2</w:t>
            </w:r>
          </w:p>
          <w:p w14:paraId="3F1D0406"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57302FE6"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6EAA5C99"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18AF55D1"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197BECB3"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4234443A"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участвующего в государственных закупках, стоимость которых составляет в пределах от </w:t>
            </w:r>
            <w:proofErr w:type="spellStart"/>
            <w:r w:rsidRPr="00BD2699">
              <w:rPr>
                <w:rFonts w:ascii="Times New Roman" w:eastAsia="Times New Roman" w:hAnsi="Times New Roman" w:cs="Times New Roman"/>
                <w:color w:val="000000" w:themeColor="text1"/>
                <w:sz w:val="24"/>
                <w:szCs w:val="24"/>
              </w:rPr>
              <w:t>двухстатысячекратного</w:t>
            </w:r>
            <w:proofErr w:type="spellEnd"/>
            <w:r w:rsidRPr="00BD2699">
              <w:rPr>
                <w:rFonts w:ascii="Times New Roman" w:eastAsia="Times New Roman" w:hAnsi="Times New Roman" w:cs="Times New Roman"/>
                <w:color w:val="000000" w:themeColor="text1"/>
                <w:sz w:val="24"/>
                <w:szCs w:val="24"/>
              </w:rPr>
              <w:t xml:space="preserve"> до </w:t>
            </w:r>
            <w:proofErr w:type="spellStart"/>
            <w:r w:rsidRPr="00BD2699">
              <w:rPr>
                <w:rFonts w:ascii="Times New Roman" w:eastAsia="Times New Roman" w:hAnsi="Times New Roman" w:cs="Times New Roman"/>
                <w:color w:val="000000" w:themeColor="text1"/>
                <w:sz w:val="24"/>
                <w:szCs w:val="24"/>
              </w:rPr>
              <w:lastRenderedPageBreak/>
              <w:t>четырехстатысячекратного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установленного на соответствующий финансовый год</w:t>
            </w:r>
          </w:p>
          <w:p w14:paraId="6A2A3D8F"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740" w:type="dxa"/>
              <w:tblLayout w:type="fixed"/>
              <w:tblLook w:val="04A0" w:firstRow="1" w:lastRow="0" w:firstColumn="1" w:lastColumn="0" w:noHBand="0" w:noVBand="1"/>
            </w:tblPr>
            <w:tblGrid>
              <w:gridCol w:w="416"/>
              <w:gridCol w:w="1116"/>
              <w:gridCol w:w="1395"/>
              <w:gridCol w:w="907"/>
              <w:gridCol w:w="906"/>
            </w:tblGrid>
            <w:tr w:rsidR="00B04764" w:rsidRPr="00BD2699" w14:paraId="13FA0A3E" w14:textId="77777777" w:rsidTr="00450A7E">
              <w:trPr>
                <w:trHeight w:val="822"/>
              </w:trPr>
              <w:tc>
                <w:tcPr>
                  <w:tcW w:w="416" w:type="dxa"/>
                  <w:tcBorders>
                    <w:top w:val="single" w:sz="4" w:space="0" w:color="auto"/>
                    <w:left w:val="single" w:sz="4" w:space="0" w:color="auto"/>
                    <w:bottom w:val="single" w:sz="4" w:space="0" w:color="auto"/>
                    <w:right w:val="single" w:sz="4" w:space="0" w:color="auto"/>
                  </w:tcBorders>
                  <w:noWrap/>
                  <w:hideMark/>
                </w:tcPr>
                <w:p w14:paraId="718884A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16" w:type="dxa"/>
                  <w:tcBorders>
                    <w:top w:val="single" w:sz="4" w:space="0" w:color="auto"/>
                    <w:left w:val="nil"/>
                    <w:bottom w:val="single" w:sz="4" w:space="0" w:color="auto"/>
                    <w:right w:val="single" w:sz="4" w:space="0" w:color="auto"/>
                  </w:tcBorders>
                  <w:hideMark/>
                </w:tcPr>
                <w:p w14:paraId="1D5584C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395" w:type="dxa"/>
                  <w:tcBorders>
                    <w:top w:val="single" w:sz="4" w:space="0" w:color="auto"/>
                    <w:left w:val="nil"/>
                    <w:bottom w:val="single" w:sz="4" w:space="0" w:color="auto"/>
                    <w:right w:val="single" w:sz="4" w:space="0" w:color="auto"/>
                  </w:tcBorders>
                  <w:hideMark/>
                </w:tcPr>
                <w:p w14:paraId="74D3DA9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07" w:type="dxa"/>
                  <w:tcBorders>
                    <w:top w:val="single" w:sz="4" w:space="0" w:color="auto"/>
                    <w:left w:val="nil"/>
                    <w:bottom w:val="single" w:sz="4" w:space="0" w:color="auto"/>
                    <w:right w:val="single" w:sz="4" w:space="0" w:color="auto"/>
                  </w:tcBorders>
                  <w:hideMark/>
                </w:tcPr>
                <w:p w14:paraId="7E75252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06" w:type="dxa"/>
                  <w:tcBorders>
                    <w:top w:val="single" w:sz="4" w:space="0" w:color="auto"/>
                    <w:left w:val="nil"/>
                    <w:bottom w:val="single" w:sz="4" w:space="0" w:color="auto"/>
                    <w:right w:val="single" w:sz="4" w:space="0" w:color="auto"/>
                  </w:tcBorders>
                  <w:hideMark/>
                </w:tcPr>
                <w:p w14:paraId="6F1F046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7DAA1F4C" w14:textId="77777777" w:rsidTr="00450A7E">
              <w:trPr>
                <w:trHeight w:val="318"/>
              </w:trPr>
              <w:tc>
                <w:tcPr>
                  <w:tcW w:w="416" w:type="dxa"/>
                  <w:tcBorders>
                    <w:top w:val="nil"/>
                    <w:left w:val="single" w:sz="4" w:space="0" w:color="auto"/>
                    <w:bottom w:val="single" w:sz="4" w:space="0" w:color="auto"/>
                    <w:right w:val="single" w:sz="4" w:space="0" w:color="auto"/>
                  </w:tcBorders>
                  <w:noWrap/>
                  <w:vAlign w:val="center"/>
                  <w:hideMark/>
                </w:tcPr>
                <w:p w14:paraId="7A679FF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16" w:type="dxa"/>
                  <w:tcBorders>
                    <w:top w:val="nil"/>
                    <w:left w:val="nil"/>
                    <w:bottom w:val="single" w:sz="4" w:space="0" w:color="auto"/>
                    <w:right w:val="single" w:sz="4" w:space="0" w:color="auto"/>
                  </w:tcBorders>
                  <w:noWrap/>
                  <w:vAlign w:val="bottom"/>
                  <w:hideMark/>
                </w:tcPr>
                <w:p w14:paraId="7471F1A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395" w:type="dxa"/>
                  <w:tcBorders>
                    <w:top w:val="nil"/>
                    <w:left w:val="nil"/>
                    <w:bottom w:val="single" w:sz="4" w:space="0" w:color="auto"/>
                    <w:right w:val="single" w:sz="4" w:space="0" w:color="auto"/>
                  </w:tcBorders>
                  <w:noWrap/>
                  <w:vAlign w:val="bottom"/>
                  <w:hideMark/>
                </w:tcPr>
                <w:p w14:paraId="52512D0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07" w:type="dxa"/>
                  <w:tcBorders>
                    <w:top w:val="nil"/>
                    <w:left w:val="nil"/>
                    <w:bottom w:val="single" w:sz="4" w:space="0" w:color="auto"/>
                    <w:right w:val="single" w:sz="4" w:space="0" w:color="auto"/>
                  </w:tcBorders>
                  <w:vAlign w:val="bottom"/>
                  <w:hideMark/>
                </w:tcPr>
                <w:p w14:paraId="0F391B6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06" w:type="dxa"/>
                  <w:tcBorders>
                    <w:top w:val="nil"/>
                    <w:left w:val="nil"/>
                    <w:bottom w:val="single" w:sz="4" w:space="0" w:color="auto"/>
                    <w:right w:val="single" w:sz="4" w:space="0" w:color="auto"/>
                  </w:tcBorders>
                  <w:vAlign w:val="bottom"/>
                  <w:hideMark/>
                </w:tcPr>
                <w:p w14:paraId="1CDDA25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w:t>
                  </w:r>
                </w:p>
              </w:tc>
            </w:tr>
            <w:tr w:rsidR="00B04764" w:rsidRPr="00BD2699" w14:paraId="3420D86D" w14:textId="77777777" w:rsidTr="00450A7E">
              <w:trPr>
                <w:trHeight w:val="318"/>
              </w:trPr>
              <w:tc>
                <w:tcPr>
                  <w:tcW w:w="416" w:type="dxa"/>
                  <w:tcBorders>
                    <w:top w:val="nil"/>
                    <w:left w:val="single" w:sz="4" w:space="0" w:color="auto"/>
                    <w:bottom w:val="single" w:sz="4" w:space="0" w:color="auto"/>
                    <w:right w:val="single" w:sz="4" w:space="0" w:color="auto"/>
                  </w:tcBorders>
                  <w:noWrap/>
                  <w:vAlign w:val="center"/>
                  <w:hideMark/>
                </w:tcPr>
                <w:p w14:paraId="027FA73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16" w:type="dxa"/>
                  <w:tcBorders>
                    <w:top w:val="nil"/>
                    <w:left w:val="nil"/>
                    <w:bottom w:val="single" w:sz="4" w:space="0" w:color="auto"/>
                    <w:right w:val="single" w:sz="4" w:space="0" w:color="auto"/>
                  </w:tcBorders>
                  <w:noWrap/>
                  <w:vAlign w:val="bottom"/>
                  <w:hideMark/>
                </w:tcPr>
                <w:p w14:paraId="763DAA9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395" w:type="dxa"/>
                  <w:tcBorders>
                    <w:top w:val="nil"/>
                    <w:left w:val="nil"/>
                    <w:bottom w:val="single" w:sz="4" w:space="0" w:color="auto"/>
                    <w:right w:val="single" w:sz="4" w:space="0" w:color="auto"/>
                  </w:tcBorders>
                  <w:noWrap/>
                  <w:vAlign w:val="bottom"/>
                  <w:hideMark/>
                </w:tcPr>
                <w:p w14:paraId="36C627A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07" w:type="dxa"/>
                  <w:tcBorders>
                    <w:top w:val="nil"/>
                    <w:left w:val="nil"/>
                    <w:bottom w:val="single" w:sz="4" w:space="0" w:color="auto"/>
                    <w:right w:val="single" w:sz="4" w:space="0" w:color="auto"/>
                  </w:tcBorders>
                  <w:vAlign w:val="bottom"/>
                  <w:hideMark/>
                </w:tcPr>
                <w:p w14:paraId="6AEBA5C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06" w:type="dxa"/>
                  <w:tcBorders>
                    <w:top w:val="nil"/>
                    <w:left w:val="nil"/>
                    <w:bottom w:val="single" w:sz="4" w:space="0" w:color="auto"/>
                    <w:right w:val="single" w:sz="4" w:space="0" w:color="auto"/>
                  </w:tcBorders>
                  <w:vAlign w:val="bottom"/>
                  <w:hideMark/>
                </w:tcPr>
                <w:p w14:paraId="6D42BB8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65%</w:t>
                  </w:r>
                </w:p>
              </w:tc>
            </w:tr>
            <w:tr w:rsidR="00B04764" w:rsidRPr="00BD2699" w14:paraId="2699930B" w14:textId="77777777" w:rsidTr="00450A7E">
              <w:trPr>
                <w:trHeight w:val="318"/>
              </w:trPr>
              <w:tc>
                <w:tcPr>
                  <w:tcW w:w="416" w:type="dxa"/>
                  <w:tcBorders>
                    <w:top w:val="nil"/>
                    <w:left w:val="single" w:sz="4" w:space="0" w:color="auto"/>
                    <w:bottom w:val="single" w:sz="4" w:space="0" w:color="auto"/>
                    <w:right w:val="single" w:sz="4" w:space="0" w:color="auto"/>
                  </w:tcBorders>
                  <w:noWrap/>
                  <w:vAlign w:val="center"/>
                  <w:hideMark/>
                </w:tcPr>
                <w:p w14:paraId="6B1B91D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16" w:type="dxa"/>
                  <w:tcBorders>
                    <w:top w:val="nil"/>
                    <w:left w:val="nil"/>
                    <w:bottom w:val="single" w:sz="4" w:space="0" w:color="auto"/>
                    <w:right w:val="single" w:sz="4" w:space="0" w:color="auto"/>
                  </w:tcBorders>
                  <w:noWrap/>
                  <w:vAlign w:val="bottom"/>
                  <w:hideMark/>
                </w:tcPr>
                <w:p w14:paraId="1BB76A9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395" w:type="dxa"/>
                  <w:tcBorders>
                    <w:top w:val="nil"/>
                    <w:left w:val="nil"/>
                    <w:bottom w:val="single" w:sz="4" w:space="0" w:color="auto"/>
                    <w:right w:val="single" w:sz="4" w:space="0" w:color="auto"/>
                  </w:tcBorders>
                  <w:noWrap/>
                  <w:vAlign w:val="bottom"/>
                  <w:hideMark/>
                </w:tcPr>
                <w:p w14:paraId="6681937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07" w:type="dxa"/>
                  <w:tcBorders>
                    <w:top w:val="nil"/>
                    <w:left w:val="nil"/>
                    <w:bottom w:val="single" w:sz="4" w:space="0" w:color="auto"/>
                    <w:right w:val="single" w:sz="4" w:space="0" w:color="auto"/>
                  </w:tcBorders>
                  <w:vAlign w:val="bottom"/>
                  <w:hideMark/>
                </w:tcPr>
                <w:p w14:paraId="1402862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06" w:type="dxa"/>
                  <w:tcBorders>
                    <w:top w:val="nil"/>
                    <w:left w:val="nil"/>
                    <w:bottom w:val="single" w:sz="4" w:space="0" w:color="auto"/>
                    <w:right w:val="single" w:sz="4" w:space="0" w:color="auto"/>
                  </w:tcBorders>
                  <w:vAlign w:val="bottom"/>
                  <w:hideMark/>
                </w:tcPr>
                <w:p w14:paraId="3FE09AA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70%</w:t>
                  </w:r>
                </w:p>
              </w:tc>
            </w:tr>
            <w:tr w:rsidR="00B04764" w:rsidRPr="00BD2699" w14:paraId="1CA65E49" w14:textId="77777777" w:rsidTr="00450A7E">
              <w:trPr>
                <w:trHeight w:val="318"/>
              </w:trPr>
              <w:tc>
                <w:tcPr>
                  <w:tcW w:w="416" w:type="dxa"/>
                  <w:tcBorders>
                    <w:top w:val="nil"/>
                    <w:left w:val="single" w:sz="4" w:space="0" w:color="auto"/>
                    <w:bottom w:val="single" w:sz="4" w:space="0" w:color="auto"/>
                    <w:right w:val="single" w:sz="4" w:space="0" w:color="auto"/>
                  </w:tcBorders>
                  <w:noWrap/>
                  <w:vAlign w:val="bottom"/>
                  <w:hideMark/>
                </w:tcPr>
                <w:p w14:paraId="6CAAE46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16" w:type="dxa"/>
                  <w:tcBorders>
                    <w:top w:val="nil"/>
                    <w:left w:val="nil"/>
                    <w:bottom w:val="single" w:sz="4" w:space="0" w:color="auto"/>
                    <w:right w:val="single" w:sz="4" w:space="0" w:color="auto"/>
                  </w:tcBorders>
                  <w:noWrap/>
                  <w:vAlign w:val="bottom"/>
                  <w:hideMark/>
                </w:tcPr>
                <w:p w14:paraId="730A758D"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395" w:type="dxa"/>
                  <w:tcBorders>
                    <w:top w:val="nil"/>
                    <w:left w:val="nil"/>
                    <w:bottom w:val="single" w:sz="4" w:space="0" w:color="auto"/>
                    <w:right w:val="single" w:sz="4" w:space="0" w:color="auto"/>
                  </w:tcBorders>
                  <w:noWrap/>
                  <w:vAlign w:val="bottom"/>
                  <w:hideMark/>
                </w:tcPr>
                <w:p w14:paraId="734C8C8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07" w:type="dxa"/>
                  <w:tcBorders>
                    <w:top w:val="nil"/>
                    <w:left w:val="nil"/>
                    <w:bottom w:val="single" w:sz="4" w:space="0" w:color="auto"/>
                    <w:right w:val="single" w:sz="4" w:space="0" w:color="auto"/>
                  </w:tcBorders>
                  <w:vAlign w:val="bottom"/>
                  <w:hideMark/>
                </w:tcPr>
                <w:p w14:paraId="5AB8A71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06" w:type="dxa"/>
                  <w:tcBorders>
                    <w:top w:val="nil"/>
                    <w:left w:val="nil"/>
                    <w:bottom w:val="single" w:sz="4" w:space="0" w:color="auto"/>
                    <w:right w:val="single" w:sz="4" w:space="0" w:color="auto"/>
                  </w:tcBorders>
                  <w:vAlign w:val="bottom"/>
                  <w:hideMark/>
                </w:tcPr>
                <w:p w14:paraId="78EFA55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185%</w:t>
                  </w:r>
                </w:p>
              </w:tc>
            </w:tr>
          </w:tbl>
          <w:p w14:paraId="357BD72F"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6AFAF68B"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3</w:t>
            </w:r>
          </w:p>
          <w:p w14:paraId="38D135D9"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4D0B8958"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4EA0C1B2"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0833A382"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40145D89"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68552A28"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263F351F"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участвующего в государственных закупках, стоимость которых составляет в пределах от </w:t>
            </w:r>
            <w:proofErr w:type="spellStart"/>
            <w:r w:rsidRPr="00BD2699">
              <w:rPr>
                <w:rFonts w:ascii="Times New Roman" w:eastAsia="Times New Roman" w:hAnsi="Times New Roman" w:cs="Times New Roman"/>
                <w:color w:val="000000" w:themeColor="text1"/>
                <w:sz w:val="24"/>
                <w:szCs w:val="24"/>
              </w:rPr>
              <w:t>четырехстатысячекратного</w:t>
            </w:r>
            <w:proofErr w:type="spellEnd"/>
            <w:r w:rsidRPr="00BD2699">
              <w:rPr>
                <w:rFonts w:ascii="Times New Roman" w:eastAsia="Times New Roman" w:hAnsi="Times New Roman" w:cs="Times New Roman"/>
                <w:color w:val="000000" w:themeColor="text1"/>
                <w:sz w:val="24"/>
                <w:szCs w:val="24"/>
              </w:rPr>
              <w:t xml:space="preserve"> до </w:t>
            </w:r>
            <w:proofErr w:type="spellStart"/>
            <w:r w:rsidRPr="00BD2699">
              <w:rPr>
                <w:rFonts w:ascii="Times New Roman" w:eastAsia="Times New Roman" w:hAnsi="Times New Roman" w:cs="Times New Roman"/>
                <w:color w:val="000000" w:themeColor="text1"/>
                <w:sz w:val="24"/>
                <w:szCs w:val="24"/>
              </w:rPr>
              <w:lastRenderedPageBreak/>
              <w:t>восьмистатысячекратного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установленного на соответствующий финансовый год</w:t>
            </w:r>
          </w:p>
          <w:p w14:paraId="61E5B203"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889" w:type="dxa"/>
              <w:tblLayout w:type="fixed"/>
              <w:tblLook w:val="04A0" w:firstRow="1" w:lastRow="0" w:firstColumn="1" w:lastColumn="0" w:noHBand="0" w:noVBand="1"/>
            </w:tblPr>
            <w:tblGrid>
              <w:gridCol w:w="429"/>
              <w:gridCol w:w="1151"/>
              <w:gridCol w:w="1439"/>
              <w:gridCol w:w="935"/>
              <w:gridCol w:w="935"/>
            </w:tblGrid>
            <w:tr w:rsidR="00B04764" w:rsidRPr="00BD2699" w14:paraId="099CCDC0" w14:textId="77777777" w:rsidTr="00450A7E">
              <w:trPr>
                <w:trHeight w:val="750"/>
              </w:trPr>
              <w:tc>
                <w:tcPr>
                  <w:tcW w:w="429" w:type="dxa"/>
                  <w:tcBorders>
                    <w:top w:val="single" w:sz="4" w:space="0" w:color="auto"/>
                    <w:left w:val="single" w:sz="4" w:space="0" w:color="auto"/>
                    <w:bottom w:val="single" w:sz="4" w:space="0" w:color="auto"/>
                    <w:right w:val="single" w:sz="4" w:space="0" w:color="auto"/>
                  </w:tcBorders>
                  <w:noWrap/>
                  <w:hideMark/>
                </w:tcPr>
                <w:p w14:paraId="43EB0F6E"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51" w:type="dxa"/>
                  <w:tcBorders>
                    <w:top w:val="single" w:sz="4" w:space="0" w:color="auto"/>
                    <w:left w:val="nil"/>
                    <w:bottom w:val="single" w:sz="4" w:space="0" w:color="auto"/>
                    <w:right w:val="single" w:sz="4" w:space="0" w:color="auto"/>
                  </w:tcBorders>
                  <w:hideMark/>
                </w:tcPr>
                <w:p w14:paraId="2BBBCFD8"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439" w:type="dxa"/>
                  <w:tcBorders>
                    <w:top w:val="single" w:sz="4" w:space="0" w:color="auto"/>
                    <w:left w:val="nil"/>
                    <w:bottom w:val="single" w:sz="4" w:space="0" w:color="auto"/>
                    <w:right w:val="single" w:sz="4" w:space="0" w:color="auto"/>
                  </w:tcBorders>
                  <w:hideMark/>
                </w:tcPr>
                <w:p w14:paraId="5F2165FC"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35" w:type="dxa"/>
                  <w:tcBorders>
                    <w:top w:val="single" w:sz="4" w:space="0" w:color="auto"/>
                    <w:left w:val="nil"/>
                    <w:bottom w:val="single" w:sz="4" w:space="0" w:color="auto"/>
                    <w:right w:val="single" w:sz="4" w:space="0" w:color="auto"/>
                  </w:tcBorders>
                  <w:hideMark/>
                </w:tcPr>
                <w:p w14:paraId="1F52708E"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35" w:type="dxa"/>
                  <w:tcBorders>
                    <w:top w:val="single" w:sz="4" w:space="0" w:color="auto"/>
                    <w:left w:val="nil"/>
                    <w:bottom w:val="single" w:sz="4" w:space="0" w:color="auto"/>
                    <w:right w:val="single" w:sz="4" w:space="0" w:color="auto"/>
                  </w:tcBorders>
                  <w:hideMark/>
                </w:tcPr>
                <w:p w14:paraId="38B4C2AA"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35D5EC7F" w14:textId="77777777" w:rsidTr="00450A7E">
              <w:trPr>
                <w:trHeight w:val="290"/>
              </w:trPr>
              <w:tc>
                <w:tcPr>
                  <w:tcW w:w="429" w:type="dxa"/>
                  <w:tcBorders>
                    <w:top w:val="nil"/>
                    <w:left w:val="single" w:sz="4" w:space="0" w:color="auto"/>
                    <w:bottom w:val="single" w:sz="4" w:space="0" w:color="auto"/>
                    <w:right w:val="single" w:sz="4" w:space="0" w:color="auto"/>
                  </w:tcBorders>
                  <w:noWrap/>
                  <w:vAlign w:val="center"/>
                  <w:hideMark/>
                </w:tcPr>
                <w:p w14:paraId="5F8DF7F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51" w:type="dxa"/>
                  <w:tcBorders>
                    <w:top w:val="nil"/>
                    <w:left w:val="nil"/>
                    <w:bottom w:val="single" w:sz="4" w:space="0" w:color="auto"/>
                    <w:right w:val="single" w:sz="4" w:space="0" w:color="auto"/>
                  </w:tcBorders>
                  <w:noWrap/>
                  <w:vAlign w:val="bottom"/>
                  <w:hideMark/>
                </w:tcPr>
                <w:p w14:paraId="646FC2C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439" w:type="dxa"/>
                  <w:tcBorders>
                    <w:top w:val="nil"/>
                    <w:left w:val="nil"/>
                    <w:bottom w:val="single" w:sz="4" w:space="0" w:color="auto"/>
                    <w:right w:val="single" w:sz="4" w:space="0" w:color="auto"/>
                  </w:tcBorders>
                  <w:noWrap/>
                  <w:vAlign w:val="bottom"/>
                  <w:hideMark/>
                </w:tcPr>
                <w:p w14:paraId="2E9067F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35" w:type="dxa"/>
                  <w:tcBorders>
                    <w:top w:val="nil"/>
                    <w:left w:val="nil"/>
                    <w:bottom w:val="single" w:sz="4" w:space="0" w:color="auto"/>
                    <w:right w:val="single" w:sz="4" w:space="0" w:color="auto"/>
                  </w:tcBorders>
                  <w:vAlign w:val="bottom"/>
                  <w:hideMark/>
                </w:tcPr>
                <w:p w14:paraId="74F2665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35" w:type="dxa"/>
                  <w:tcBorders>
                    <w:top w:val="nil"/>
                    <w:left w:val="nil"/>
                    <w:bottom w:val="single" w:sz="4" w:space="0" w:color="auto"/>
                    <w:right w:val="single" w:sz="4" w:space="0" w:color="auto"/>
                  </w:tcBorders>
                  <w:vAlign w:val="bottom"/>
                  <w:hideMark/>
                </w:tcPr>
                <w:p w14:paraId="124D2D7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100%</w:t>
                  </w:r>
                </w:p>
              </w:tc>
            </w:tr>
            <w:tr w:rsidR="00B04764" w:rsidRPr="00BD2699" w14:paraId="6160F341" w14:textId="77777777" w:rsidTr="00450A7E">
              <w:trPr>
                <w:trHeight w:val="290"/>
              </w:trPr>
              <w:tc>
                <w:tcPr>
                  <w:tcW w:w="429" w:type="dxa"/>
                  <w:tcBorders>
                    <w:top w:val="nil"/>
                    <w:left w:val="single" w:sz="4" w:space="0" w:color="auto"/>
                    <w:bottom w:val="single" w:sz="4" w:space="0" w:color="auto"/>
                    <w:right w:val="single" w:sz="4" w:space="0" w:color="auto"/>
                  </w:tcBorders>
                  <w:noWrap/>
                  <w:vAlign w:val="center"/>
                  <w:hideMark/>
                </w:tcPr>
                <w:p w14:paraId="6ADE9BC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51" w:type="dxa"/>
                  <w:tcBorders>
                    <w:top w:val="nil"/>
                    <w:left w:val="nil"/>
                    <w:bottom w:val="single" w:sz="4" w:space="0" w:color="auto"/>
                    <w:right w:val="single" w:sz="4" w:space="0" w:color="auto"/>
                  </w:tcBorders>
                  <w:noWrap/>
                  <w:vAlign w:val="bottom"/>
                  <w:hideMark/>
                </w:tcPr>
                <w:p w14:paraId="790BF53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439" w:type="dxa"/>
                  <w:tcBorders>
                    <w:top w:val="nil"/>
                    <w:left w:val="nil"/>
                    <w:bottom w:val="single" w:sz="4" w:space="0" w:color="auto"/>
                    <w:right w:val="single" w:sz="4" w:space="0" w:color="auto"/>
                  </w:tcBorders>
                  <w:noWrap/>
                  <w:vAlign w:val="bottom"/>
                  <w:hideMark/>
                </w:tcPr>
                <w:p w14:paraId="5ACC296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35" w:type="dxa"/>
                  <w:tcBorders>
                    <w:top w:val="nil"/>
                    <w:left w:val="nil"/>
                    <w:bottom w:val="single" w:sz="4" w:space="0" w:color="auto"/>
                    <w:right w:val="single" w:sz="4" w:space="0" w:color="auto"/>
                  </w:tcBorders>
                  <w:vAlign w:val="bottom"/>
                  <w:hideMark/>
                </w:tcPr>
                <w:p w14:paraId="655D6B8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35" w:type="dxa"/>
                  <w:tcBorders>
                    <w:top w:val="nil"/>
                    <w:left w:val="nil"/>
                    <w:bottom w:val="single" w:sz="4" w:space="0" w:color="auto"/>
                    <w:right w:val="single" w:sz="4" w:space="0" w:color="auto"/>
                  </w:tcBorders>
                  <w:vAlign w:val="bottom"/>
                  <w:hideMark/>
                </w:tcPr>
                <w:p w14:paraId="4BF3C1D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65%</w:t>
                  </w:r>
                </w:p>
              </w:tc>
            </w:tr>
            <w:tr w:rsidR="00B04764" w:rsidRPr="00BD2699" w14:paraId="3874D28F" w14:textId="77777777" w:rsidTr="00450A7E">
              <w:trPr>
                <w:trHeight w:val="290"/>
              </w:trPr>
              <w:tc>
                <w:tcPr>
                  <w:tcW w:w="429" w:type="dxa"/>
                  <w:tcBorders>
                    <w:top w:val="nil"/>
                    <w:left w:val="single" w:sz="4" w:space="0" w:color="auto"/>
                    <w:bottom w:val="single" w:sz="4" w:space="0" w:color="auto"/>
                    <w:right w:val="single" w:sz="4" w:space="0" w:color="auto"/>
                  </w:tcBorders>
                  <w:noWrap/>
                  <w:vAlign w:val="center"/>
                  <w:hideMark/>
                </w:tcPr>
                <w:p w14:paraId="5F60F8C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51" w:type="dxa"/>
                  <w:tcBorders>
                    <w:top w:val="nil"/>
                    <w:left w:val="nil"/>
                    <w:bottom w:val="single" w:sz="4" w:space="0" w:color="auto"/>
                    <w:right w:val="single" w:sz="4" w:space="0" w:color="auto"/>
                  </w:tcBorders>
                  <w:noWrap/>
                  <w:vAlign w:val="bottom"/>
                  <w:hideMark/>
                </w:tcPr>
                <w:p w14:paraId="2633CC6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439" w:type="dxa"/>
                  <w:tcBorders>
                    <w:top w:val="nil"/>
                    <w:left w:val="nil"/>
                    <w:bottom w:val="single" w:sz="4" w:space="0" w:color="auto"/>
                    <w:right w:val="single" w:sz="4" w:space="0" w:color="auto"/>
                  </w:tcBorders>
                  <w:noWrap/>
                  <w:vAlign w:val="bottom"/>
                  <w:hideMark/>
                </w:tcPr>
                <w:p w14:paraId="2C36099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35" w:type="dxa"/>
                  <w:tcBorders>
                    <w:top w:val="nil"/>
                    <w:left w:val="nil"/>
                    <w:bottom w:val="single" w:sz="4" w:space="0" w:color="auto"/>
                    <w:right w:val="single" w:sz="4" w:space="0" w:color="auto"/>
                  </w:tcBorders>
                  <w:vAlign w:val="bottom"/>
                  <w:hideMark/>
                </w:tcPr>
                <w:p w14:paraId="301A2B0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35" w:type="dxa"/>
                  <w:tcBorders>
                    <w:top w:val="nil"/>
                    <w:left w:val="nil"/>
                    <w:bottom w:val="single" w:sz="4" w:space="0" w:color="auto"/>
                    <w:right w:val="single" w:sz="4" w:space="0" w:color="auto"/>
                  </w:tcBorders>
                  <w:vAlign w:val="bottom"/>
                  <w:hideMark/>
                </w:tcPr>
                <w:p w14:paraId="76F1E1E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100%</w:t>
                  </w:r>
                </w:p>
              </w:tc>
            </w:tr>
            <w:tr w:rsidR="00B04764" w:rsidRPr="00BD2699" w14:paraId="6BEED762" w14:textId="77777777" w:rsidTr="00450A7E">
              <w:trPr>
                <w:trHeight w:val="290"/>
              </w:trPr>
              <w:tc>
                <w:tcPr>
                  <w:tcW w:w="429" w:type="dxa"/>
                  <w:tcBorders>
                    <w:top w:val="nil"/>
                    <w:left w:val="single" w:sz="4" w:space="0" w:color="auto"/>
                    <w:bottom w:val="single" w:sz="4" w:space="0" w:color="auto"/>
                    <w:right w:val="single" w:sz="4" w:space="0" w:color="auto"/>
                  </w:tcBorders>
                  <w:noWrap/>
                  <w:vAlign w:val="bottom"/>
                  <w:hideMark/>
                </w:tcPr>
                <w:p w14:paraId="74BE77D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51" w:type="dxa"/>
                  <w:tcBorders>
                    <w:top w:val="nil"/>
                    <w:left w:val="nil"/>
                    <w:bottom w:val="single" w:sz="4" w:space="0" w:color="auto"/>
                    <w:right w:val="single" w:sz="4" w:space="0" w:color="auto"/>
                  </w:tcBorders>
                  <w:noWrap/>
                  <w:vAlign w:val="bottom"/>
                  <w:hideMark/>
                </w:tcPr>
                <w:p w14:paraId="4A0930CD"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439" w:type="dxa"/>
                  <w:tcBorders>
                    <w:top w:val="nil"/>
                    <w:left w:val="nil"/>
                    <w:bottom w:val="single" w:sz="4" w:space="0" w:color="auto"/>
                    <w:right w:val="single" w:sz="4" w:space="0" w:color="auto"/>
                  </w:tcBorders>
                  <w:noWrap/>
                  <w:vAlign w:val="bottom"/>
                  <w:hideMark/>
                </w:tcPr>
                <w:p w14:paraId="5DA2084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35" w:type="dxa"/>
                  <w:tcBorders>
                    <w:top w:val="nil"/>
                    <w:left w:val="nil"/>
                    <w:bottom w:val="single" w:sz="4" w:space="0" w:color="auto"/>
                    <w:right w:val="single" w:sz="4" w:space="0" w:color="auto"/>
                  </w:tcBorders>
                  <w:vAlign w:val="bottom"/>
                  <w:hideMark/>
                </w:tcPr>
                <w:p w14:paraId="2C257E6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35" w:type="dxa"/>
                  <w:tcBorders>
                    <w:top w:val="nil"/>
                    <w:left w:val="nil"/>
                    <w:bottom w:val="single" w:sz="4" w:space="0" w:color="auto"/>
                    <w:right w:val="single" w:sz="4" w:space="0" w:color="auto"/>
                  </w:tcBorders>
                  <w:vAlign w:val="bottom"/>
                  <w:hideMark/>
                </w:tcPr>
                <w:p w14:paraId="356E84F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265%</w:t>
                  </w:r>
                </w:p>
              </w:tc>
            </w:tr>
          </w:tbl>
          <w:p w14:paraId="44C9AF88"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085FC1A9"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4</w:t>
            </w:r>
          </w:p>
          <w:p w14:paraId="5C952E49"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621D81B5"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2105D8C5"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p>
          <w:p w14:paraId="7859B323"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243A410D"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69DE4299"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0EADCE3D"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участвующего в государственных закупках, стоимость которых составляет в пределах от </w:t>
            </w:r>
            <w:proofErr w:type="spellStart"/>
            <w:r w:rsidRPr="00BD2699">
              <w:rPr>
                <w:rFonts w:ascii="Times New Roman" w:eastAsia="Times New Roman" w:hAnsi="Times New Roman" w:cs="Times New Roman"/>
                <w:color w:val="000000" w:themeColor="text1"/>
                <w:sz w:val="24"/>
                <w:szCs w:val="24"/>
              </w:rPr>
              <w:t>восьмистатысячекратного</w:t>
            </w:r>
            <w:proofErr w:type="spellEnd"/>
            <w:r w:rsidRPr="00BD2699">
              <w:rPr>
                <w:rFonts w:ascii="Times New Roman" w:eastAsia="Times New Roman" w:hAnsi="Times New Roman" w:cs="Times New Roman"/>
                <w:color w:val="000000" w:themeColor="text1"/>
                <w:sz w:val="24"/>
                <w:szCs w:val="24"/>
              </w:rPr>
              <w:t xml:space="preserve"> до одного миллиона </w:t>
            </w:r>
            <w:proofErr w:type="spellStart"/>
            <w:r w:rsidRPr="00BD2699">
              <w:rPr>
                <w:rFonts w:ascii="Times New Roman" w:eastAsia="Times New Roman" w:hAnsi="Times New Roman" w:cs="Times New Roman"/>
                <w:color w:val="000000" w:themeColor="text1"/>
                <w:sz w:val="24"/>
                <w:szCs w:val="24"/>
              </w:rPr>
              <w:t>шестистатысячекратного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w:t>
            </w:r>
            <w:r w:rsidRPr="00BD2699">
              <w:rPr>
                <w:rFonts w:ascii="Times New Roman" w:eastAsia="Times New Roman" w:hAnsi="Times New Roman" w:cs="Times New Roman"/>
                <w:color w:val="000000" w:themeColor="text1"/>
                <w:sz w:val="24"/>
                <w:szCs w:val="24"/>
              </w:rPr>
              <w:lastRenderedPageBreak/>
              <w:t>установленного на соответствующий финансовый год</w:t>
            </w:r>
          </w:p>
          <w:p w14:paraId="3CCDA7CB"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770" w:type="dxa"/>
              <w:tblLayout w:type="fixed"/>
              <w:tblLook w:val="04A0" w:firstRow="1" w:lastRow="0" w:firstColumn="1" w:lastColumn="0" w:noHBand="0" w:noVBand="1"/>
            </w:tblPr>
            <w:tblGrid>
              <w:gridCol w:w="419"/>
              <w:gridCol w:w="1123"/>
              <w:gridCol w:w="1404"/>
              <w:gridCol w:w="912"/>
              <w:gridCol w:w="912"/>
            </w:tblGrid>
            <w:tr w:rsidR="00B04764" w:rsidRPr="00BD2699" w14:paraId="525CC0FC" w14:textId="77777777" w:rsidTr="00450A7E">
              <w:trPr>
                <w:trHeight w:val="829"/>
              </w:trPr>
              <w:tc>
                <w:tcPr>
                  <w:tcW w:w="419" w:type="dxa"/>
                  <w:tcBorders>
                    <w:top w:val="single" w:sz="4" w:space="0" w:color="auto"/>
                    <w:left w:val="single" w:sz="4" w:space="0" w:color="auto"/>
                    <w:bottom w:val="single" w:sz="4" w:space="0" w:color="auto"/>
                    <w:right w:val="single" w:sz="4" w:space="0" w:color="auto"/>
                  </w:tcBorders>
                  <w:noWrap/>
                  <w:hideMark/>
                </w:tcPr>
                <w:p w14:paraId="38AAE1F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23" w:type="dxa"/>
                  <w:tcBorders>
                    <w:top w:val="single" w:sz="4" w:space="0" w:color="auto"/>
                    <w:left w:val="nil"/>
                    <w:bottom w:val="single" w:sz="4" w:space="0" w:color="auto"/>
                    <w:right w:val="single" w:sz="4" w:space="0" w:color="auto"/>
                  </w:tcBorders>
                  <w:hideMark/>
                </w:tcPr>
                <w:p w14:paraId="0EABF56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404" w:type="dxa"/>
                  <w:tcBorders>
                    <w:top w:val="single" w:sz="4" w:space="0" w:color="auto"/>
                    <w:left w:val="nil"/>
                    <w:bottom w:val="single" w:sz="4" w:space="0" w:color="auto"/>
                    <w:right w:val="single" w:sz="4" w:space="0" w:color="auto"/>
                  </w:tcBorders>
                  <w:hideMark/>
                </w:tcPr>
                <w:p w14:paraId="75F187F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12" w:type="dxa"/>
                  <w:tcBorders>
                    <w:top w:val="single" w:sz="4" w:space="0" w:color="auto"/>
                    <w:left w:val="nil"/>
                    <w:bottom w:val="single" w:sz="4" w:space="0" w:color="auto"/>
                    <w:right w:val="single" w:sz="4" w:space="0" w:color="auto"/>
                  </w:tcBorders>
                  <w:hideMark/>
                </w:tcPr>
                <w:p w14:paraId="4DFA06F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12" w:type="dxa"/>
                  <w:tcBorders>
                    <w:top w:val="single" w:sz="4" w:space="0" w:color="auto"/>
                    <w:left w:val="nil"/>
                    <w:bottom w:val="single" w:sz="4" w:space="0" w:color="auto"/>
                    <w:right w:val="single" w:sz="4" w:space="0" w:color="auto"/>
                  </w:tcBorders>
                  <w:hideMark/>
                </w:tcPr>
                <w:p w14:paraId="0BEB064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4B975729" w14:textId="77777777" w:rsidTr="00450A7E">
              <w:trPr>
                <w:trHeight w:val="320"/>
              </w:trPr>
              <w:tc>
                <w:tcPr>
                  <w:tcW w:w="419" w:type="dxa"/>
                  <w:tcBorders>
                    <w:top w:val="nil"/>
                    <w:left w:val="single" w:sz="4" w:space="0" w:color="auto"/>
                    <w:bottom w:val="single" w:sz="4" w:space="0" w:color="auto"/>
                    <w:right w:val="single" w:sz="4" w:space="0" w:color="auto"/>
                  </w:tcBorders>
                  <w:noWrap/>
                  <w:vAlign w:val="center"/>
                  <w:hideMark/>
                </w:tcPr>
                <w:p w14:paraId="4B6472A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23" w:type="dxa"/>
                  <w:tcBorders>
                    <w:top w:val="nil"/>
                    <w:left w:val="nil"/>
                    <w:bottom w:val="single" w:sz="4" w:space="0" w:color="auto"/>
                    <w:right w:val="single" w:sz="4" w:space="0" w:color="auto"/>
                  </w:tcBorders>
                  <w:noWrap/>
                  <w:vAlign w:val="bottom"/>
                  <w:hideMark/>
                </w:tcPr>
                <w:p w14:paraId="678FCBE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404" w:type="dxa"/>
                  <w:tcBorders>
                    <w:top w:val="nil"/>
                    <w:left w:val="nil"/>
                    <w:bottom w:val="single" w:sz="4" w:space="0" w:color="auto"/>
                    <w:right w:val="single" w:sz="4" w:space="0" w:color="auto"/>
                  </w:tcBorders>
                  <w:noWrap/>
                  <w:vAlign w:val="bottom"/>
                  <w:hideMark/>
                </w:tcPr>
                <w:p w14:paraId="128E6F8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12" w:type="dxa"/>
                  <w:tcBorders>
                    <w:top w:val="nil"/>
                    <w:left w:val="nil"/>
                    <w:bottom w:val="single" w:sz="4" w:space="0" w:color="auto"/>
                    <w:right w:val="single" w:sz="4" w:space="0" w:color="auto"/>
                  </w:tcBorders>
                  <w:vAlign w:val="bottom"/>
                  <w:hideMark/>
                </w:tcPr>
                <w:p w14:paraId="7D5A601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12" w:type="dxa"/>
                  <w:tcBorders>
                    <w:top w:val="nil"/>
                    <w:left w:val="nil"/>
                    <w:bottom w:val="single" w:sz="4" w:space="0" w:color="auto"/>
                    <w:right w:val="single" w:sz="4" w:space="0" w:color="auto"/>
                  </w:tcBorders>
                  <w:vAlign w:val="bottom"/>
                  <w:hideMark/>
                </w:tcPr>
                <w:p w14:paraId="0F264E5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200%</w:t>
                  </w:r>
                </w:p>
              </w:tc>
            </w:tr>
            <w:tr w:rsidR="00B04764" w:rsidRPr="00BD2699" w14:paraId="73CC7211" w14:textId="77777777" w:rsidTr="00450A7E">
              <w:trPr>
                <w:trHeight w:val="320"/>
              </w:trPr>
              <w:tc>
                <w:tcPr>
                  <w:tcW w:w="419" w:type="dxa"/>
                  <w:tcBorders>
                    <w:top w:val="nil"/>
                    <w:left w:val="single" w:sz="4" w:space="0" w:color="auto"/>
                    <w:bottom w:val="single" w:sz="4" w:space="0" w:color="auto"/>
                    <w:right w:val="single" w:sz="4" w:space="0" w:color="auto"/>
                  </w:tcBorders>
                  <w:noWrap/>
                  <w:vAlign w:val="center"/>
                  <w:hideMark/>
                </w:tcPr>
                <w:p w14:paraId="07F7A2A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23" w:type="dxa"/>
                  <w:tcBorders>
                    <w:top w:val="nil"/>
                    <w:left w:val="nil"/>
                    <w:bottom w:val="single" w:sz="4" w:space="0" w:color="auto"/>
                    <w:right w:val="single" w:sz="4" w:space="0" w:color="auto"/>
                  </w:tcBorders>
                  <w:noWrap/>
                  <w:vAlign w:val="bottom"/>
                  <w:hideMark/>
                </w:tcPr>
                <w:p w14:paraId="4227A39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404" w:type="dxa"/>
                  <w:tcBorders>
                    <w:top w:val="nil"/>
                    <w:left w:val="nil"/>
                    <w:bottom w:val="single" w:sz="4" w:space="0" w:color="auto"/>
                    <w:right w:val="single" w:sz="4" w:space="0" w:color="auto"/>
                  </w:tcBorders>
                  <w:noWrap/>
                  <w:vAlign w:val="bottom"/>
                  <w:hideMark/>
                </w:tcPr>
                <w:p w14:paraId="05BB467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12" w:type="dxa"/>
                  <w:tcBorders>
                    <w:top w:val="nil"/>
                    <w:left w:val="nil"/>
                    <w:bottom w:val="single" w:sz="4" w:space="0" w:color="auto"/>
                    <w:right w:val="single" w:sz="4" w:space="0" w:color="auto"/>
                  </w:tcBorders>
                  <w:vAlign w:val="bottom"/>
                  <w:hideMark/>
                </w:tcPr>
                <w:p w14:paraId="7C8B646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12" w:type="dxa"/>
                  <w:tcBorders>
                    <w:top w:val="nil"/>
                    <w:left w:val="nil"/>
                    <w:bottom w:val="single" w:sz="4" w:space="0" w:color="auto"/>
                    <w:right w:val="single" w:sz="4" w:space="0" w:color="auto"/>
                  </w:tcBorders>
                  <w:vAlign w:val="bottom"/>
                  <w:hideMark/>
                </w:tcPr>
                <w:p w14:paraId="0A97921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65%</w:t>
                  </w:r>
                </w:p>
              </w:tc>
            </w:tr>
            <w:tr w:rsidR="00B04764" w:rsidRPr="00BD2699" w14:paraId="0832FB54" w14:textId="77777777" w:rsidTr="00450A7E">
              <w:trPr>
                <w:trHeight w:val="320"/>
              </w:trPr>
              <w:tc>
                <w:tcPr>
                  <w:tcW w:w="419" w:type="dxa"/>
                  <w:tcBorders>
                    <w:top w:val="nil"/>
                    <w:left w:val="single" w:sz="4" w:space="0" w:color="auto"/>
                    <w:bottom w:val="single" w:sz="4" w:space="0" w:color="auto"/>
                    <w:right w:val="single" w:sz="4" w:space="0" w:color="auto"/>
                  </w:tcBorders>
                  <w:noWrap/>
                  <w:vAlign w:val="center"/>
                  <w:hideMark/>
                </w:tcPr>
                <w:p w14:paraId="0540DDB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23" w:type="dxa"/>
                  <w:tcBorders>
                    <w:top w:val="nil"/>
                    <w:left w:val="nil"/>
                    <w:bottom w:val="single" w:sz="4" w:space="0" w:color="auto"/>
                    <w:right w:val="single" w:sz="4" w:space="0" w:color="auto"/>
                  </w:tcBorders>
                  <w:noWrap/>
                  <w:vAlign w:val="bottom"/>
                  <w:hideMark/>
                </w:tcPr>
                <w:p w14:paraId="2487039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404" w:type="dxa"/>
                  <w:tcBorders>
                    <w:top w:val="nil"/>
                    <w:left w:val="nil"/>
                    <w:bottom w:val="single" w:sz="4" w:space="0" w:color="auto"/>
                    <w:right w:val="single" w:sz="4" w:space="0" w:color="auto"/>
                  </w:tcBorders>
                  <w:noWrap/>
                  <w:vAlign w:val="bottom"/>
                  <w:hideMark/>
                </w:tcPr>
                <w:p w14:paraId="6AA245B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12" w:type="dxa"/>
                  <w:tcBorders>
                    <w:top w:val="nil"/>
                    <w:left w:val="nil"/>
                    <w:bottom w:val="single" w:sz="4" w:space="0" w:color="auto"/>
                    <w:right w:val="single" w:sz="4" w:space="0" w:color="auto"/>
                  </w:tcBorders>
                  <w:vAlign w:val="bottom"/>
                  <w:hideMark/>
                </w:tcPr>
                <w:p w14:paraId="6E5A949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12" w:type="dxa"/>
                  <w:tcBorders>
                    <w:top w:val="nil"/>
                    <w:left w:val="nil"/>
                    <w:bottom w:val="single" w:sz="4" w:space="0" w:color="auto"/>
                    <w:right w:val="single" w:sz="4" w:space="0" w:color="auto"/>
                  </w:tcBorders>
                  <w:vAlign w:val="bottom"/>
                  <w:hideMark/>
                </w:tcPr>
                <w:p w14:paraId="240252E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100%</w:t>
                  </w:r>
                </w:p>
              </w:tc>
            </w:tr>
            <w:tr w:rsidR="00B04764" w:rsidRPr="00BD2699" w14:paraId="6FDA8300" w14:textId="77777777" w:rsidTr="00450A7E">
              <w:trPr>
                <w:trHeight w:val="320"/>
              </w:trPr>
              <w:tc>
                <w:tcPr>
                  <w:tcW w:w="419" w:type="dxa"/>
                  <w:tcBorders>
                    <w:top w:val="nil"/>
                    <w:left w:val="single" w:sz="4" w:space="0" w:color="auto"/>
                    <w:bottom w:val="single" w:sz="4" w:space="0" w:color="auto"/>
                    <w:right w:val="single" w:sz="4" w:space="0" w:color="auto"/>
                  </w:tcBorders>
                  <w:noWrap/>
                  <w:vAlign w:val="bottom"/>
                  <w:hideMark/>
                </w:tcPr>
                <w:p w14:paraId="26E07AB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23" w:type="dxa"/>
                  <w:tcBorders>
                    <w:top w:val="nil"/>
                    <w:left w:val="nil"/>
                    <w:bottom w:val="single" w:sz="4" w:space="0" w:color="auto"/>
                    <w:right w:val="single" w:sz="4" w:space="0" w:color="auto"/>
                  </w:tcBorders>
                  <w:noWrap/>
                  <w:vAlign w:val="bottom"/>
                  <w:hideMark/>
                </w:tcPr>
                <w:p w14:paraId="0CD096F9"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404" w:type="dxa"/>
                  <w:tcBorders>
                    <w:top w:val="nil"/>
                    <w:left w:val="nil"/>
                    <w:bottom w:val="single" w:sz="4" w:space="0" w:color="auto"/>
                    <w:right w:val="single" w:sz="4" w:space="0" w:color="auto"/>
                  </w:tcBorders>
                  <w:noWrap/>
                  <w:vAlign w:val="bottom"/>
                  <w:hideMark/>
                </w:tcPr>
                <w:p w14:paraId="393C95C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12" w:type="dxa"/>
                  <w:tcBorders>
                    <w:top w:val="nil"/>
                    <w:left w:val="nil"/>
                    <w:bottom w:val="single" w:sz="4" w:space="0" w:color="auto"/>
                    <w:right w:val="single" w:sz="4" w:space="0" w:color="auto"/>
                  </w:tcBorders>
                  <w:vAlign w:val="bottom"/>
                  <w:hideMark/>
                </w:tcPr>
                <w:p w14:paraId="644B3D3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12" w:type="dxa"/>
                  <w:tcBorders>
                    <w:top w:val="nil"/>
                    <w:left w:val="nil"/>
                    <w:bottom w:val="single" w:sz="4" w:space="0" w:color="auto"/>
                    <w:right w:val="single" w:sz="4" w:space="0" w:color="auto"/>
                  </w:tcBorders>
                  <w:vAlign w:val="bottom"/>
                  <w:hideMark/>
                </w:tcPr>
                <w:p w14:paraId="3578A18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365%</w:t>
                  </w:r>
                </w:p>
              </w:tc>
            </w:tr>
          </w:tbl>
          <w:p w14:paraId="2CE07C9B"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3B190579"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5</w:t>
            </w:r>
          </w:p>
          <w:p w14:paraId="49F3D184"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29B997A3"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4FFB0428"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6BDB585B"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58D9957E"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2E48D51F"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участвующего в государственных закупках, стоимость которых составляет в пределах от одного миллиона </w:t>
            </w:r>
            <w:proofErr w:type="spellStart"/>
            <w:r w:rsidRPr="00BD2699">
              <w:rPr>
                <w:rFonts w:ascii="Times New Roman" w:eastAsia="Times New Roman" w:hAnsi="Times New Roman" w:cs="Times New Roman"/>
                <w:color w:val="000000" w:themeColor="text1"/>
                <w:sz w:val="24"/>
                <w:szCs w:val="24"/>
              </w:rPr>
              <w:t>шестистатысячекратного</w:t>
            </w:r>
            <w:proofErr w:type="spellEnd"/>
            <w:r w:rsidRPr="00BD2699">
              <w:rPr>
                <w:rFonts w:ascii="Times New Roman" w:eastAsia="Times New Roman" w:hAnsi="Times New Roman" w:cs="Times New Roman"/>
                <w:color w:val="000000" w:themeColor="text1"/>
                <w:sz w:val="24"/>
                <w:szCs w:val="24"/>
              </w:rPr>
              <w:t xml:space="preserve"> до трех миллионов </w:t>
            </w:r>
            <w:proofErr w:type="spellStart"/>
            <w:r w:rsidRPr="00BD2699">
              <w:rPr>
                <w:rFonts w:ascii="Times New Roman" w:eastAsia="Times New Roman" w:hAnsi="Times New Roman" w:cs="Times New Roman"/>
                <w:color w:val="000000" w:themeColor="text1"/>
                <w:sz w:val="24"/>
                <w:szCs w:val="24"/>
              </w:rPr>
              <w:t>двухстатысячакратного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w:t>
            </w:r>
            <w:r w:rsidRPr="00BD2699">
              <w:rPr>
                <w:rFonts w:ascii="Times New Roman" w:eastAsia="Times New Roman" w:hAnsi="Times New Roman" w:cs="Times New Roman"/>
                <w:color w:val="000000" w:themeColor="text1"/>
                <w:sz w:val="24"/>
                <w:szCs w:val="24"/>
              </w:rPr>
              <w:lastRenderedPageBreak/>
              <w:t>расчетного показателя, установленного на соответствующий финансовый год</w:t>
            </w:r>
          </w:p>
          <w:p w14:paraId="3B24D1A4"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859" w:type="dxa"/>
              <w:tblLayout w:type="fixed"/>
              <w:tblLook w:val="04A0" w:firstRow="1" w:lastRow="0" w:firstColumn="1" w:lastColumn="0" w:noHBand="0" w:noVBand="1"/>
            </w:tblPr>
            <w:tblGrid>
              <w:gridCol w:w="426"/>
              <w:gridCol w:w="1144"/>
              <w:gridCol w:w="1430"/>
              <w:gridCol w:w="930"/>
              <w:gridCol w:w="929"/>
            </w:tblGrid>
            <w:tr w:rsidR="00B04764" w:rsidRPr="00BD2699" w14:paraId="435F2CF9" w14:textId="77777777" w:rsidTr="00450A7E">
              <w:trPr>
                <w:trHeight w:val="791"/>
              </w:trPr>
              <w:tc>
                <w:tcPr>
                  <w:tcW w:w="426" w:type="dxa"/>
                  <w:tcBorders>
                    <w:top w:val="single" w:sz="4" w:space="0" w:color="auto"/>
                    <w:left w:val="single" w:sz="4" w:space="0" w:color="auto"/>
                    <w:bottom w:val="single" w:sz="4" w:space="0" w:color="auto"/>
                    <w:right w:val="single" w:sz="4" w:space="0" w:color="auto"/>
                  </w:tcBorders>
                  <w:noWrap/>
                  <w:hideMark/>
                </w:tcPr>
                <w:p w14:paraId="0E8B501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44" w:type="dxa"/>
                  <w:tcBorders>
                    <w:top w:val="single" w:sz="4" w:space="0" w:color="auto"/>
                    <w:left w:val="nil"/>
                    <w:bottom w:val="single" w:sz="4" w:space="0" w:color="auto"/>
                    <w:right w:val="single" w:sz="4" w:space="0" w:color="auto"/>
                  </w:tcBorders>
                  <w:hideMark/>
                </w:tcPr>
                <w:p w14:paraId="118BDE6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430" w:type="dxa"/>
                  <w:tcBorders>
                    <w:top w:val="single" w:sz="4" w:space="0" w:color="auto"/>
                    <w:left w:val="nil"/>
                    <w:bottom w:val="single" w:sz="4" w:space="0" w:color="auto"/>
                    <w:right w:val="single" w:sz="4" w:space="0" w:color="auto"/>
                  </w:tcBorders>
                  <w:hideMark/>
                </w:tcPr>
                <w:p w14:paraId="3DDF74F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30" w:type="dxa"/>
                  <w:tcBorders>
                    <w:top w:val="single" w:sz="4" w:space="0" w:color="auto"/>
                    <w:left w:val="nil"/>
                    <w:bottom w:val="single" w:sz="4" w:space="0" w:color="auto"/>
                    <w:right w:val="single" w:sz="4" w:space="0" w:color="auto"/>
                  </w:tcBorders>
                  <w:hideMark/>
                </w:tcPr>
                <w:p w14:paraId="40975BB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29" w:type="dxa"/>
                  <w:tcBorders>
                    <w:top w:val="single" w:sz="4" w:space="0" w:color="auto"/>
                    <w:left w:val="nil"/>
                    <w:bottom w:val="single" w:sz="4" w:space="0" w:color="auto"/>
                    <w:right w:val="single" w:sz="4" w:space="0" w:color="auto"/>
                  </w:tcBorders>
                  <w:hideMark/>
                </w:tcPr>
                <w:p w14:paraId="09A6142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1AEA39ED" w14:textId="77777777" w:rsidTr="00450A7E">
              <w:trPr>
                <w:trHeight w:val="306"/>
              </w:trPr>
              <w:tc>
                <w:tcPr>
                  <w:tcW w:w="426" w:type="dxa"/>
                  <w:tcBorders>
                    <w:top w:val="nil"/>
                    <w:left w:val="single" w:sz="4" w:space="0" w:color="auto"/>
                    <w:bottom w:val="single" w:sz="4" w:space="0" w:color="auto"/>
                    <w:right w:val="single" w:sz="4" w:space="0" w:color="auto"/>
                  </w:tcBorders>
                  <w:noWrap/>
                  <w:vAlign w:val="center"/>
                  <w:hideMark/>
                </w:tcPr>
                <w:p w14:paraId="354D376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44" w:type="dxa"/>
                  <w:tcBorders>
                    <w:top w:val="nil"/>
                    <w:left w:val="nil"/>
                    <w:bottom w:val="single" w:sz="4" w:space="0" w:color="auto"/>
                    <w:right w:val="single" w:sz="4" w:space="0" w:color="auto"/>
                  </w:tcBorders>
                  <w:noWrap/>
                  <w:vAlign w:val="bottom"/>
                  <w:hideMark/>
                </w:tcPr>
                <w:p w14:paraId="6E5265C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430" w:type="dxa"/>
                  <w:tcBorders>
                    <w:top w:val="nil"/>
                    <w:left w:val="nil"/>
                    <w:bottom w:val="single" w:sz="4" w:space="0" w:color="auto"/>
                    <w:right w:val="single" w:sz="4" w:space="0" w:color="auto"/>
                  </w:tcBorders>
                  <w:noWrap/>
                  <w:vAlign w:val="bottom"/>
                  <w:hideMark/>
                </w:tcPr>
                <w:p w14:paraId="6A18099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30" w:type="dxa"/>
                  <w:tcBorders>
                    <w:top w:val="nil"/>
                    <w:left w:val="nil"/>
                    <w:bottom w:val="single" w:sz="4" w:space="0" w:color="auto"/>
                    <w:right w:val="single" w:sz="4" w:space="0" w:color="auto"/>
                  </w:tcBorders>
                  <w:vAlign w:val="bottom"/>
                  <w:hideMark/>
                </w:tcPr>
                <w:p w14:paraId="3735C96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29" w:type="dxa"/>
                  <w:tcBorders>
                    <w:top w:val="nil"/>
                    <w:left w:val="nil"/>
                    <w:bottom w:val="single" w:sz="4" w:space="0" w:color="auto"/>
                    <w:right w:val="single" w:sz="4" w:space="0" w:color="auto"/>
                  </w:tcBorders>
                  <w:vAlign w:val="bottom"/>
                  <w:hideMark/>
                </w:tcPr>
                <w:p w14:paraId="257BD6C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r>
            <w:tr w:rsidR="00B04764" w:rsidRPr="00BD2699" w14:paraId="519E9278" w14:textId="77777777" w:rsidTr="00450A7E">
              <w:trPr>
                <w:trHeight w:val="306"/>
              </w:trPr>
              <w:tc>
                <w:tcPr>
                  <w:tcW w:w="426" w:type="dxa"/>
                  <w:tcBorders>
                    <w:top w:val="nil"/>
                    <w:left w:val="single" w:sz="4" w:space="0" w:color="auto"/>
                    <w:bottom w:val="single" w:sz="4" w:space="0" w:color="auto"/>
                    <w:right w:val="single" w:sz="4" w:space="0" w:color="auto"/>
                  </w:tcBorders>
                  <w:noWrap/>
                  <w:vAlign w:val="center"/>
                  <w:hideMark/>
                </w:tcPr>
                <w:p w14:paraId="26BCF91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44" w:type="dxa"/>
                  <w:tcBorders>
                    <w:top w:val="nil"/>
                    <w:left w:val="nil"/>
                    <w:bottom w:val="single" w:sz="4" w:space="0" w:color="auto"/>
                    <w:right w:val="single" w:sz="4" w:space="0" w:color="auto"/>
                  </w:tcBorders>
                  <w:noWrap/>
                  <w:vAlign w:val="bottom"/>
                  <w:hideMark/>
                </w:tcPr>
                <w:p w14:paraId="3AAC9F7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430" w:type="dxa"/>
                  <w:tcBorders>
                    <w:top w:val="nil"/>
                    <w:left w:val="nil"/>
                    <w:bottom w:val="single" w:sz="4" w:space="0" w:color="auto"/>
                    <w:right w:val="single" w:sz="4" w:space="0" w:color="auto"/>
                  </w:tcBorders>
                  <w:noWrap/>
                  <w:vAlign w:val="bottom"/>
                  <w:hideMark/>
                </w:tcPr>
                <w:p w14:paraId="0B6EE70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30" w:type="dxa"/>
                  <w:tcBorders>
                    <w:top w:val="nil"/>
                    <w:left w:val="nil"/>
                    <w:bottom w:val="single" w:sz="4" w:space="0" w:color="auto"/>
                    <w:right w:val="single" w:sz="4" w:space="0" w:color="auto"/>
                  </w:tcBorders>
                  <w:vAlign w:val="bottom"/>
                  <w:hideMark/>
                </w:tcPr>
                <w:p w14:paraId="38A2045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29" w:type="dxa"/>
                  <w:tcBorders>
                    <w:top w:val="nil"/>
                    <w:left w:val="nil"/>
                    <w:bottom w:val="single" w:sz="4" w:space="0" w:color="auto"/>
                    <w:right w:val="single" w:sz="4" w:space="0" w:color="auto"/>
                  </w:tcBorders>
                  <w:vAlign w:val="bottom"/>
                  <w:hideMark/>
                </w:tcPr>
                <w:p w14:paraId="3A8D165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65%</w:t>
                  </w:r>
                </w:p>
              </w:tc>
            </w:tr>
            <w:tr w:rsidR="00B04764" w:rsidRPr="00BD2699" w14:paraId="744E8994" w14:textId="77777777" w:rsidTr="00450A7E">
              <w:trPr>
                <w:trHeight w:val="306"/>
              </w:trPr>
              <w:tc>
                <w:tcPr>
                  <w:tcW w:w="426" w:type="dxa"/>
                  <w:tcBorders>
                    <w:top w:val="nil"/>
                    <w:left w:val="single" w:sz="4" w:space="0" w:color="auto"/>
                    <w:bottom w:val="single" w:sz="4" w:space="0" w:color="auto"/>
                    <w:right w:val="single" w:sz="4" w:space="0" w:color="auto"/>
                  </w:tcBorders>
                  <w:noWrap/>
                  <w:vAlign w:val="center"/>
                  <w:hideMark/>
                </w:tcPr>
                <w:p w14:paraId="4B65EC6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44" w:type="dxa"/>
                  <w:tcBorders>
                    <w:top w:val="nil"/>
                    <w:left w:val="nil"/>
                    <w:bottom w:val="single" w:sz="4" w:space="0" w:color="auto"/>
                    <w:right w:val="single" w:sz="4" w:space="0" w:color="auto"/>
                  </w:tcBorders>
                  <w:noWrap/>
                  <w:vAlign w:val="bottom"/>
                  <w:hideMark/>
                </w:tcPr>
                <w:p w14:paraId="202AC0A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430" w:type="dxa"/>
                  <w:tcBorders>
                    <w:top w:val="nil"/>
                    <w:left w:val="nil"/>
                    <w:bottom w:val="single" w:sz="4" w:space="0" w:color="auto"/>
                    <w:right w:val="single" w:sz="4" w:space="0" w:color="auto"/>
                  </w:tcBorders>
                  <w:noWrap/>
                  <w:vAlign w:val="bottom"/>
                  <w:hideMark/>
                </w:tcPr>
                <w:p w14:paraId="232C7D1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30" w:type="dxa"/>
                  <w:tcBorders>
                    <w:top w:val="nil"/>
                    <w:left w:val="nil"/>
                    <w:bottom w:val="single" w:sz="4" w:space="0" w:color="auto"/>
                    <w:right w:val="single" w:sz="4" w:space="0" w:color="auto"/>
                  </w:tcBorders>
                  <w:vAlign w:val="bottom"/>
                  <w:hideMark/>
                </w:tcPr>
                <w:p w14:paraId="7CC883D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29" w:type="dxa"/>
                  <w:tcBorders>
                    <w:top w:val="nil"/>
                    <w:left w:val="nil"/>
                    <w:bottom w:val="single" w:sz="4" w:space="0" w:color="auto"/>
                    <w:right w:val="single" w:sz="4" w:space="0" w:color="auto"/>
                  </w:tcBorders>
                  <w:vAlign w:val="bottom"/>
                  <w:hideMark/>
                </w:tcPr>
                <w:p w14:paraId="3376EC2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100%</w:t>
                  </w:r>
                </w:p>
              </w:tc>
            </w:tr>
            <w:tr w:rsidR="00B04764" w:rsidRPr="00BD2699" w14:paraId="7AFD4E04" w14:textId="77777777" w:rsidTr="00450A7E">
              <w:trPr>
                <w:trHeight w:val="306"/>
              </w:trPr>
              <w:tc>
                <w:tcPr>
                  <w:tcW w:w="426" w:type="dxa"/>
                  <w:tcBorders>
                    <w:top w:val="nil"/>
                    <w:left w:val="single" w:sz="4" w:space="0" w:color="auto"/>
                    <w:bottom w:val="single" w:sz="4" w:space="0" w:color="auto"/>
                    <w:right w:val="single" w:sz="4" w:space="0" w:color="auto"/>
                  </w:tcBorders>
                  <w:noWrap/>
                  <w:vAlign w:val="bottom"/>
                  <w:hideMark/>
                </w:tcPr>
                <w:p w14:paraId="0400E4C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44" w:type="dxa"/>
                  <w:tcBorders>
                    <w:top w:val="nil"/>
                    <w:left w:val="nil"/>
                    <w:bottom w:val="single" w:sz="4" w:space="0" w:color="auto"/>
                    <w:right w:val="single" w:sz="4" w:space="0" w:color="auto"/>
                  </w:tcBorders>
                  <w:noWrap/>
                  <w:vAlign w:val="bottom"/>
                  <w:hideMark/>
                </w:tcPr>
                <w:p w14:paraId="31569E5C"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430" w:type="dxa"/>
                  <w:tcBorders>
                    <w:top w:val="nil"/>
                    <w:left w:val="nil"/>
                    <w:bottom w:val="single" w:sz="4" w:space="0" w:color="auto"/>
                    <w:right w:val="single" w:sz="4" w:space="0" w:color="auto"/>
                  </w:tcBorders>
                  <w:noWrap/>
                  <w:vAlign w:val="bottom"/>
                  <w:hideMark/>
                </w:tcPr>
                <w:p w14:paraId="6305FBF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30" w:type="dxa"/>
                  <w:tcBorders>
                    <w:top w:val="nil"/>
                    <w:left w:val="nil"/>
                    <w:bottom w:val="single" w:sz="4" w:space="0" w:color="auto"/>
                    <w:right w:val="single" w:sz="4" w:space="0" w:color="auto"/>
                  </w:tcBorders>
                  <w:vAlign w:val="bottom"/>
                  <w:hideMark/>
                </w:tcPr>
                <w:p w14:paraId="77A157E6"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p>
              </w:tc>
              <w:tc>
                <w:tcPr>
                  <w:tcW w:w="929" w:type="dxa"/>
                  <w:tcBorders>
                    <w:top w:val="nil"/>
                    <w:left w:val="nil"/>
                    <w:bottom w:val="single" w:sz="4" w:space="0" w:color="auto"/>
                    <w:right w:val="single" w:sz="4" w:space="0" w:color="auto"/>
                  </w:tcBorders>
                  <w:vAlign w:val="bottom"/>
                  <w:hideMark/>
                </w:tcPr>
                <w:p w14:paraId="03B612D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665%</w:t>
                  </w:r>
                </w:p>
              </w:tc>
            </w:tr>
          </w:tbl>
          <w:p w14:paraId="62A6EB15"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389579BE"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6</w:t>
            </w:r>
          </w:p>
          <w:p w14:paraId="596C4431"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2980E14C"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504FDDC0"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22FAF0FC"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0FFBAC0C"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w:t>
            </w:r>
          </w:p>
          <w:p w14:paraId="4503FA30"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потенциального поставщика, участвующего в государственных закупках, стоимость которых превышает трех миллионов </w:t>
            </w:r>
            <w:proofErr w:type="spellStart"/>
            <w:r w:rsidRPr="00BD2699">
              <w:rPr>
                <w:rFonts w:ascii="Times New Roman" w:eastAsia="Times New Roman" w:hAnsi="Times New Roman" w:cs="Times New Roman"/>
                <w:color w:val="000000" w:themeColor="text1"/>
                <w:sz w:val="24"/>
                <w:szCs w:val="24"/>
              </w:rPr>
              <w:t>двухстатысячакратного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установленного на соответствующий финансовый год</w:t>
            </w:r>
          </w:p>
          <w:p w14:paraId="44A1D542"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p>
          <w:p w14:paraId="0F7F2C4E"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664" w:type="dxa"/>
              <w:tblLayout w:type="fixed"/>
              <w:tblLook w:val="04A0" w:firstRow="1" w:lastRow="0" w:firstColumn="1" w:lastColumn="0" w:noHBand="0" w:noVBand="1"/>
            </w:tblPr>
            <w:tblGrid>
              <w:gridCol w:w="409"/>
              <w:gridCol w:w="1098"/>
              <w:gridCol w:w="1373"/>
              <w:gridCol w:w="892"/>
              <w:gridCol w:w="892"/>
            </w:tblGrid>
            <w:tr w:rsidR="00B04764" w:rsidRPr="00BD2699" w14:paraId="1175D668" w14:textId="77777777" w:rsidTr="00450A7E">
              <w:trPr>
                <w:trHeight w:val="733"/>
              </w:trPr>
              <w:tc>
                <w:tcPr>
                  <w:tcW w:w="409" w:type="dxa"/>
                  <w:tcBorders>
                    <w:top w:val="single" w:sz="4" w:space="0" w:color="auto"/>
                    <w:left w:val="single" w:sz="4" w:space="0" w:color="auto"/>
                    <w:bottom w:val="single" w:sz="4" w:space="0" w:color="auto"/>
                    <w:right w:val="single" w:sz="4" w:space="0" w:color="auto"/>
                  </w:tcBorders>
                  <w:noWrap/>
                  <w:hideMark/>
                </w:tcPr>
                <w:p w14:paraId="1CD3725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098" w:type="dxa"/>
                  <w:tcBorders>
                    <w:top w:val="single" w:sz="4" w:space="0" w:color="auto"/>
                    <w:left w:val="nil"/>
                    <w:bottom w:val="single" w:sz="4" w:space="0" w:color="auto"/>
                    <w:right w:val="single" w:sz="4" w:space="0" w:color="auto"/>
                  </w:tcBorders>
                  <w:hideMark/>
                </w:tcPr>
                <w:p w14:paraId="76D5804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373" w:type="dxa"/>
                  <w:tcBorders>
                    <w:top w:val="single" w:sz="4" w:space="0" w:color="auto"/>
                    <w:left w:val="nil"/>
                    <w:bottom w:val="single" w:sz="4" w:space="0" w:color="auto"/>
                    <w:right w:val="single" w:sz="4" w:space="0" w:color="auto"/>
                  </w:tcBorders>
                  <w:hideMark/>
                </w:tcPr>
                <w:p w14:paraId="77A7822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892" w:type="dxa"/>
                  <w:tcBorders>
                    <w:top w:val="single" w:sz="4" w:space="0" w:color="auto"/>
                    <w:left w:val="nil"/>
                    <w:bottom w:val="single" w:sz="4" w:space="0" w:color="auto"/>
                    <w:right w:val="single" w:sz="4" w:space="0" w:color="auto"/>
                  </w:tcBorders>
                  <w:hideMark/>
                </w:tcPr>
                <w:p w14:paraId="7039FCB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892" w:type="dxa"/>
                  <w:tcBorders>
                    <w:top w:val="single" w:sz="4" w:space="0" w:color="auto"/>
                    <w:left w:val="nil"/>
                    <w:bottom w:val="single" w:sz="4" w:space="0" w:color="auto"/>
                    <w:right w:val="single" w:sz="4" w:space="0" w:color="auto"/>
                  </w:tcBorders>
                  <w:hideMark/>
                </w:tcPr>
                <w:p w14:paraId="7BA203B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51B1A23E" w14:textId="77777777" w:rsidTr="00450A7E">
              <w:trPr>
                <w:trHeight w:val="283"/>
              </w:trPr>
              <w:tc>
                <w:tcPr>
                  <w:tcW w:w="409" w:type="dxa"/>
                  <w:tcBorders>
                    <w:top w:val="nil"/>
                    <w:left w:val="single" w:sz="4" w:space="0" w:color="auto"/>
                    <w:bottom w:val="single" w:sz="4" w:space="0" w:color="auto"/>
                    <w:right w:val="single" w:sz="4" w:space="0" w:color="auto"/>
                  </w:tcBorders>
                  <w:noWrap/>
                  <w:vAlign w:val="center"/>
                  <w:hideMark/>
                </w:tcPr>
                <w:p w14:paraId="70AF138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098" w:type="dxa"/>
                  <w:tcBorders>
                    <w:top w:val="nil"/>
                    <w:left w:val="nil"/>
                    <w:bottom w:val="single" w:sz="4" w:space="0" w:color="auto"/>
                    <w:right w:val="single" w:sz="4" w:space="0" w:color="auto"/>
                  </w:tcBorders>
                  <w:noWrap/>
                  <w:vAlign w:val="bottom"/>
                  <w:hideMark/>
                </w:tcPr>
                <w:p w14:paraId="078DAB7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373" w:type="dxa"/>
                  <w:tcBorders>
                    <w:top w:val="nil"/>
                    <w:left w:val="nil"/>
                    <w:bottom w:val="single" w:sz="4" w:space="0" w:color="auto"/>
                    <w:right w:val="single" w:sz="4" w:space="0" w:color="auto"/>
                  </w:tcBorders>
                  <w:noWrap/>
                  <w:vAlign w:val="bottom"/>
                  <w:hideMark/>
                </w:tcPr>
                <w:p w14:paraId="60F6CFE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892" w:type="dxa"/>
                  <w:tcBorders>
                    <w:top w:val="nil"/>
                    <w:left w:val="nil"/>
                    <w:bottom w:val="single" w:sz="4" w:space="0" w:color="auto"/>
                    <w:right w:val="single" w:sz="4" w:space="0" w:color="auto"/>
                  </w:tcBorders>
                  <w:vAlign w:val="bottom"/>
                  <w:hideMark/>
                </w:tcPr>
                <w:p w14:paraId="779310E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892" w:type="dxa"/>
                  <w:tcBorders>
                    <w:top w:val="nil"/>
                    <w:left w:val="nil"/>
                    <w:bottom w:val="single" w:sz="4" w:space="0" w:color="auto"/>
                    <w:right w:val="single" w:sz="4" w:space="0" w:color="auto"/>
                  </w:tcBorders>
                  <w:vAlign w:val="bottom"/>
                  <w:hideMark/>
                </w:tcPr>
                <w:p w14:paraId="5FFB95E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700%</w:t>
                  </w:r>
                </w:p>
              </w:tc>
            </w:tr>
            <w:tr w:rsidR="00B04764" w:rsidRPr="00BD2699" w14:paraId="6E7E1706" w14:textId="77777777" w:rsidTr="00450A7E">
              <w:trPr>
                <w:trHeight w:val="283"/>
              </w:trPr>
              <w:tc>
                <w:tcPr>
                  <w:tcW w:w="409" w:type="dxa"/>
                  <w:tcBorders>
                    <w:top w:val="nil"/>
                    <w:left w:val="single" w:sz="4" w:space="0" w:color="auto"/>
                    <w:bottom w:val="single" w:sz="4" w:space="0" w:color="auto"/>
                    <w:right w:val="single" w:sz="4" w:space="0" w:color="auto"/>
                  </w:tcBorders>
                  <w:noWrap/>
                  <w:vAlign w:val="center"/>
                  <w:hideMark/>
                </w:tcPr>
                <w:p w14:paraId="26AA05A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098" w:type="dxa"/>
                  <w:tcBorders>
                    <w:top w:val="nil"/>
                    <w:left w:val="nil"/>
                    <w:bottom w:val="single" w:sz="4" w:space="0" w:color="auto"/>
                    <w:right w:val="single" w:sz="4" w:space="0" w:color="auto"/>
                  </w:tcBorders>
                  <w:noWrap/>
                  <w:vAlign w:val="bottom"/>
                  <w:hideMark/>
                </w:tcPr>
                <w:p w14:paraId="63A6DAE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373" w:type="dxa"/>
                  <w:tcBorders>
                    <w:top w:val="nil"/>
                    <w:left w:val="nil"/>
                    <w:bottom w:val="single" w:sz="4" w:space="0" w:color="auto"/>
                    <w:right w:val="single" w:sz="4" w:space="0" w:color="auto"/>
                  </w:tcBorders>
                  <w:noWrap/>
                  <w:vAlign w:val="bottom"/>
                  <w:hideMark/>
                </w:tcPr>
                <w:p w14:paraId="13290C4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892" w:type="dxa"/>
                  <w:tcBorders>
                    <w:top w:val="nil"/>
                    <w:left w:val="nil"/>
                    <w:bottom w:val="single" w:sz="4" w:space="0" w:color="auto"/>
                    <w:right w:val="single" w:sz="4" w:space="0" w:color="auto"/>
                  </w:tcBorders>
                  <w:vAlign w:val="bottom"/>
                  <w:hideMark/>
                </w:tcPr>
                <w:p w14:paraId="28C93F1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892" w:type="dxa"/>
                  <w:tcBorders>
                    <w:top w:val="nil"/>
                    <w:left w:val="nil"/>
                    <w:bottom w:val="single" w:sz="4" w:space="0" w:color="auto"/>
                    <w:right w:val="single" w:sz="4" w:space="0" w:color="auto"/>
                  </w:tcBorders>
                  <w:vAlign w:val="bottom"/>
                  <w:hideMark/>
                </w:tcPr>
                <w:p w14:paraId="4B85FE6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65%</w:t>
                  </w:r>
                </w:p>
              </w:tc>
            </w:tr>
            <w:tr w:rsidR="00B04764" w:rsidRPr="00BD2699" w14:paraId="2D7A2666" w14:textId="77777777" w:rsidTr="00450A7E">
              <w:trPr>
                <w:trHeight w:val="283"/>
              </w:trPr>
              <w:tc>
                <w:tcPr>
                  <w:tcW w:w="409" w:type="dxa"/>
                  <w:tcBorders>
                    <w:top w:val="nil"/>
                    <w:left w:val="single" w:sz="4" w:space="0" w:color="auto"/>
                    <w:bottom w:val="single" w:sz="4" w:space="0" w:color="auto"/>
                    <w:right w:val="single" w:sz="4" w:space="0" w:color="auto"/>
                  </w:tcBorders>
                  <w:noWrap/>
                  <w:vAlign w:val="center"/>
                  <w:hideMark/>
                </w:tcPr>
                <w:p w14:paraId="76463E4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098" w:type="dxa"/>
                  <w:tcBorders>
                    <w:top w:val="nil"/>
                    <w:left w:val="nil"/>
                    <w:bottom w:val="single" w:sz="4" w:space="0" w:color="auto"/>
                    <w:right w:val="single" w:sz="4" w:space="0" w:color="auto"/>
                  </w:tcBorders>
                  <w:noWrap/>
                  <w:vAlign w:val="bottom"/>
                  <w:hideMark/>
                </w:tcPr>
                <w:p w14:paraId="7FD143B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373" w:type="dxa"/>
                  <w:tcBorders>
                    <w:top w:val="nil"/>
                    <w:left w:val="nil"/>
                    <w:bottom w:val="single" w:sz="4" w:space="0" w:color="auto"/>
                    <w:right w:val="single" w:sz="4" w:space="0" w:color="auto"/>
                  </w:tcBorders>
                  <w:noWrap/>
                  <w:vAlign w:val="bottom"/>
                  <w:hideMark/>
                </w:tcPr>
                <w:p w14:paraId="1A20071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892" w:type="dxa"/>
                  <w:tcBorders>
                    <w:top w:val="nil"/>
                    <w:left w:val="nil"/>
                    <w:bottom w:val="single" w:sz="4" w:space="0" w:color="auto"/>
                    <w:right w:val="single" w:sz="4" w:space="0" w:color="auto"/>
                  </w:tcBorders>
                  <w:vAlign w:val="bottom"/>
                  <w:hideMark/>
                </w:tcPr>
                <w:p w14:paraId="59BDEDE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892" w:type="dxa"/>
                  <w:tcBorders>
                    <w:top w:val="nil"/>
                    <w:left w:val="nil"/>
                    <w:bottom w:val="single" w:sz="4" w:space="0" w:color="auto"/>
                    <w:right w:val="single" w:sz="4" w:space="0" w:color="auto"/>
                  </w:tcBorders>
                  <w:vAlign w:val="bottom"/>
                  <w:hideMark/>
                </w:tcPr>
                <w:p w14:paraId="665D89B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100%</w:t>
                  </w:r>
                </w:p>
              </w:tc>
            </w:tr>
            <w:tr w:rsidR="00B04764" w:rsidRPr="00BD2699" w14:paraId="17AD8ACC" w14:textId="77777777" w:rsidTr="00450A7E">
              <w:trPr>
                <w:trHeight w:val="283"/>
              </w:trPr>
              <w:tc>
                <w:tcPr>
                  <w:tcW w:w="409" w:type="dxa"/>
                  <w:tcBorders>
                    <w:top w:val="nil"/>
                    <w:left w:val="single" w:sz="4" w:space="0" w:color="auto"/>
                    <w:bottom w:val="single" w:sz="4" w:space="0" w:color="auto"/>
                    <w:right w:val="single" w:sz="4" w:space="0" w:color="auto"/>
                  </w:tcBorders>
                  <w:noWrap/>
                  <w:vAlign w:val="bottom"/>
                  <w:hideMark/>
                </w:tcPr>
                <w:p w14:paraId="421FF1D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098" w:type="dxa"/>
                  <w:tcBorders>
                    <w:top w:val="nil"/>
                    <w:left w:val="nil"/>
                    <w:bottom w:val="single" w:sz="4" w:space="0" w:color="auto"/>
                    <w:right w:val="single" w:sz="4" w:space="0" w:color="auto"/>
                  </w:tcBorders>
                  <w:noWrap/>
                  <w:vAlign w:val="bottom"/>
                  <w:hideMark/>
                </w:tcPr>
                <w:p w14:paraId="5E8EB12E"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373" w:type="dxa"/>
                  <w:tcBorders>
                    <w:top w:val="nil"/>
                    <w:left w:val="nil"/>
                    <w:bottom w:val="single" w:sz="4" w:space="0" w:color="auto"/>
                    <w:right w:val="single" w:sz="4" w:space="0" w:color="auto"/>
                  </w:tcBorders>
                  <w:noWrap/>
                  <w:vAlign w:val="bottom"/>
                  <w:hideMark/>
                </w:tcPr>
                <w:p w14:paraId="2330224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892" w:type="dxa"/>
                  <w:tcBorders>
                    <w:top w:val="nil"/>
                    <w:left w:val="nil"/>
                    <w:bottom w:val="single" w:sz="4" w:space="0" w:color="auto"/>
                    <w:right w:val="single" w:sz="4" w:space="0" w:color="auto"/>
                  </w:tcBorders>
                  <w:vAlign w:val="bottom"/>
                  <w:hideMark/>
                </w:tcPr>
                <w:p w14:paraId="089EEAB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892" w:type="dxa"/>
                  <w:tcBorders>
                    <w:top w:val="nil"/>
                    <w:left w:val="nil"/>
                    <w:bottom w:val="single" w:sz="4" w:space="0" w:color="auto"/>
                    <w:right w:val="single" w:sz="4" w:space="0" w:color="auto"/>
                  </w:tcBorders>
                  <w:vAlign w:val="bottom"/>
                  <w:hideMark/>
                </w:tcPr>
                <w:p w14:paraId="539F0C7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865%</w:t>
                  </w:r>
                </w:p>
              </w:tc>
            </w:tr>
          </w:tbl>
          <w:p w14:paraId="45152F43" w14:textId="77777777" w:rsidR="00B04764" w:rsidRPr="00BD2699" w:rsidRDefault="00B04764" w:rsidP="00B04764">
            <w:pPr>
              <w:jc w:val="center"/>
              <w:rPr>
                <w:rFonts w:ascii="Times New Roman" w:eastAsia="Times New Roman" w:hAnsi="Times New Roman" w:cs="Times New Roman"/>
                <w:color w:val="000000"/>
                <w:sz w:val="24"/>
                <w:szCs w:val="24"/>
              </w:rPr>
            </w:pPr>
          </w:p>
        </w:tc>
        <w:tc>
          <w:tcPr>
            <w:tcW w:w="5245" w:type="dxa"/>
            <w:shd w:val="clear" w:color="auto" w:fill="auto"/>
          </w:tcPr>
          <w:p w14:paraId="77B2609D"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lastRenderedPageBreak/>
              <w:t xml:space="preserve">Приложение 11 </w:t>
            </w:r>
            <w:r w:rsidRPr="00BD2699">
              <w:rPr>
                <w:rFonts w:ascii="Times New Roman" w:eastAsia="Times New Roman" w:hAnsi="Times New Roman" w:cs="Times New Roman"/>
                <w:color w:val="000000" w:themeColor="text1"/>
                <w:sz w:val="24"/>
                <w:szCs w:val="24"/>
              </w:rPr>
              <w:br/>
              <w:t>к Правилам осуществления</w:t>
            </w:r>
            <w:r w:rsidRPr="00BD2699">
              <w:rPr>
                <w:rFonts w:ascii="Times New Roman" w:eastAsia="Times New Roman" w:hAnsi="Times New Roman" w:cs="Times New Roman"/>
                <w:color w:val="000000" w:themeColor="text1"/>
                <w:sz w:val="24"/>
                <w:szCs w:val="24"/>
              </w:rPr>
              <w:br/>
              <w:t>государственных закупок</w:t>
            </w:r>
          </w:p>
          <w:p w14:paraId="11316332" w14:textId="77777777" w:rsidR="00B04764" w:rsidRPr="00BD2699" w:rsidRDefault="00B04764" w:rsidP="00B04764">
            <w:pPr>
              <w:ind w:left="6096"/>
              <w:jc w:val="center"/>
              <w:rPr>
                <w:rFonts w:ascii="Times New Roman" w:eastAsia="Times New Roman" w:hAnsi="Times New Roman" w:cs="Times New Roman"/>
                <w:sz w:val="28"/>
                <w:szCs w:val="28"/>
              </w:rPr>
            </w:pPr>
            <w:r w:rsidRPr="00BD2699">
              <w:rPr>
                <w:rFonts w:ascii="Times New Roman" w:eastAsia="Times New Roman" w:hAnsi="Times New Roman" w:cs="Times New Roman"/>
                <w:color w:val="000000"/>
                <w:sz w:val="28"/>
                <w:szCs w:val="28"/>
              </w:rPr>
              <w:t>л</w:t>
            </w:r>
          </w:p>
          <w:p w14:paraId="2EB727E4" w14:textId="77777777" w:rsidR="00B04764" w:rsidRPr="00BD2699" w:rsidRDefault="00B04764" w:rsidP="00B04764">
            <w:pPr>
              <w:jc w:val="center"/>
              <w:rPr>
                <w:rFonts w:ascii="Times New Roman" w:eastAsia="Times New Roman" w:hAnsi="Times New Roman" w:cs="Times New Roman"/>
                <w:sz w:val="28"/>
                <w:szCs w:val="28"/>
              </w:rPr>
            </w:pPr>
          </w:p>
          <w:p w14:paraId="43822E8B" w14:textId="77777777" w:rsidR="00B04764" w:rsidRPr="00BD2699" w:rsidRDefault="00B04764" w:rsidP="00B04764">
            <w:pPr>
              <w:jc w:val="center"/>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 xml:space="preserve">Формула </w:t>
            </w:r>
          </w:p>
          <w:p w14:paraId="744066BB" w14:textId="77777777" w:rsidR="00B04764" w:rsidRPr="00BD2699" w:rsidRDefault="00B04764" w:rsidP="00B04764">
            <w:pPr>
              <w:jc w:val="center"/>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расчета показателя финансовой устойчивости</w:t>
            </w:r>
          </w:p>
          <w:p w14:paraId="65B204C6" w14:textId="77777777" w:rsidR="00B04764" w:rsidRPr="00BD2699" w:rsidRDefault="00B04764" w:rsidP="00B04764">
            <w:pPr>
              <w:ind w:firstLine="393"/>
              <w:jc w:val="both"/>
              <w:rPr>
                <w:rFonts w:ascii="Times New Roman" w:eastAsia="Times New Roman" w:hAnsi="Times New Roman" w:cs="Times New Roman"/>
                <w:sz w:val="24"/>
                <w:szCs w:val="28"/>
              </w:rPr>
            </w:pPr>
          </w:p>
          <w:p w14:paraId="796E0F0C"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ПФУ = ПД + ПУН + ПФОТ,</w:t>
            </w:r>
          </w:p>
          <w:p w14:paraId="0E442783"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где:</w:t>
            </w:r>
          </w:p>
          <w:p w14:paraId="67AC92A5"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ПФУ – показатель финансовой устойчивости потенциального поставщика;</w:t>
            </w:r>
          </w:p>
          <w:p w14:paraId="6282BDC6" w14:textId="0F2D249C"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 xml:space="preserve">ПД – показатель дохода </w:t>
            </w:r>
            <w:r w:rsidR="00896EE3">
              <w:rPr>
                <w:rFonts w:ascii="Times New Roman" w:eastAsia="Times New Roman" w:hAnsi="Times New Roman" w:cs="Times New Roman"/>
                <w:sz w:val="24"/>
                <w:szCs w:val="28"/>
              </w:rPr>
              <w:br/>
            </w:r>
            <w:r w:rsidRPr="00BD2699">
              <w:rPr>
                <w:rFonts w:ascii="Times New Roman" w:eastAsia="Times New Roman" w:hAnsi="Times New Roman" w:cs="Times New Roman"/>
                <w:sz w:val="24"/>
                <w:szCs w:val="28"/>
              </w:rPr>
              <w:t xml:space="preserve">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xml:space="preserve">, </w:t>
            </w:r>
            <w:r w:rsidR="00896EE3">
              <w:rPr>
                <w:rFonts w:ascii="Times New Roman" w:eastAsia="Times New Roman" w:hAnsi="Times New Roman" w:cs="Times New Roman"/>
                <w:sz w:val="24"/>
                <w:szCs w:val="28"/>
              </w:rPr>
              <w:br/>
            </w:r>
            <w:r w:rsidRPr="00BD2699">
              <w:rPr>
                <w:rFonts w:ascii="Times New Roman" w:eastAsia="Times New Roman" w:hAnsi="Times New Roman" w:cs="Times New Roman"/>
                <w:sz w:val="24"/>
                <w:szCs w:val="28"/>
              </w:rPr>
              <w:t xml:space="preserve">предшествующих предыдущему году </w:t>
            </w:r>
            <w:r w:rsidR="00896EE3">
              <w:rPr>
                <w:rFonts w:ascii="Times New Roman" w:eastAsia="Times New Roman" w:hAnsi="Times New Roman" w:cs="Times New Roman"/>
                <w:sz w:val="24"/>
                <w:szCs w:val="28"/>
              </w:rPr>
              <w:br/>
            </w:r>
            <w:r w:rsidRPr="00BD2699">
              <w:rPr>
                <w:rFonts w:ascii="Times New Roman" w:eastAsia="Times New Roman" w:hAnsi="Times New Roman" w:cs="Times New Roman"/>
                <w:sz w:val="24"/>
                <w:szCs w:val="28"/>
              </w:rPr>
              <w:t>согласно данным информационных систем органов государственных доходов, рассчитываемый в процентном соотношении</w:t>
            </w:r>
            <w:r w:rsidR="00896EE3">
              <w:rPr>
                <w:rFonts w:ascii="Times New Roman" w:eastAsia="Times New Roman" w:hAnsi="Times New Roman" w:cs="Times New Roman"/>
                <w:sz w:val="24"/>
                <w:szCs w:val="28"/>
              </w:rPr>
              <w:br/>
            </w:r>
            <w:r w:rsidRPr="00BD2699">
              <w:rPr>
                <w:rFonts w:ascii="Times New Roman" w:eastAsia="Times New Roman" w:hAnsi="Times New Roman" w:cs="Times New Roman"/>
                <w:sz w:val="24"/>
                <w:szCs w:val="28"/>
              </w:rPr>
              <w:t xml:space="preserve"> в следующем порядке.</w:t>
            </w:r>
          </w:p>
          <w:p w14:paraId="4CB73C1B"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ПД = СД / СГЗ x 100%,</w:t>
            </w:r>
          </w:p>
          <w:p w14:paraId="2C89B638"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где:</w:t>
            </w:r>
          </w:p>
          <w:p w14:paraId="3A205717"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lastRenderedPageBreak/>
              <w:t xml:space="preserve">СД – сумма дохода 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предшествующих предыдущему году согласно данным информационных систем органов государственных доходов;</w:t>
            </w:r>
          </w:p>
          <w:p w14:paraId="05B9D18B"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sz w:val="24"/>
                <w:szCs w:val="28"/>
              </w:rPr>
              <w:t xml:space="preserve">СГЗ – сумма государственной закупки (лота). </w:t>
            </w:r>
          </w:p>
          <w:p w14:paraId="44A88036"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color w:val="000000"/>
                <w:spacing w:val="2"/>
                <w:sz w:val="24"/>
                <w:szCs w:val="28"/>
                <w:shd w:val="clear" w:color="auto" w:fill="FFFFFF"/>
              </w:rP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0F4B72BC"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sz w:val="24"/>
                <w:szCs w:val="28"/>
              </w:rPr>
              <w:t xml:space="preserve">ПУН – показатель уплаченных налогов в течение рассчитываемого трехлетнего периода в процентном соотношении, который рассчитывается в следующем порядке. </w:t>
            </w:r>
            <w:r w:rsidRPr="00BD2699">
              <w:rPr>
                <w:rFonts w:ascii="Times New Roman" w:eastAsia="Times New Roman" w:hAnsi="Times New Roman" w:cs="Times New Roman"/>
                <w:color w:val="000000"/>
                <w:spacing w:val="2"/>
                <w:sz w:val="24"/>
                <w:szCs w:val="28"/>
                <w:shd w:val="clear" w:color="auto" w:fill="FFFFFF"/>
              </w:rPr>
              <w:t xml:space="preserve"> </w:t>
            </w:r>
          </w:p>
          <w:p w14:paraId="5C7D44FA"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color w:val="000000"/>
                <w:spacing w:val="2"/>
                <w:sz w:val="24"/>
                <w:szCs w:val="28"/>
                <w:shd w:val="clear" w:color="auto" w:fill="FFFFFF"/>
              </w:rPr>
              <w:t>ПУН = УН / СД х 100%,</w:t>
            </w:r>
          </w:p>
          <w:p w14:paraId="4CCC0AE1" w14:textId="77777777" w:rsidR="00B04764" w:rsidRPr="00BD2699" w:rsidRDefault="00B04764" w:rsidP="00B04764">
            <w:pPr>
              <w:ind w:firstLine="709"/>
              <w:jc w:val="both"/>
              <w:rPr>
                <w:rFonts w:ascii="Times New Roman" w:eastAsia="Times New Roman" w:hAnsi="Times New Roman" w:cs="Times New Roman"/>
                <w:color w:val="000000"/>
                <w:spacing w:val="2"/>
                <w:sz w:val="24"/>
                <w:szCs w:val="28"/>
                <w:shd w:val="clear" w:color="auto" w:fill="FFFFFF"/>
              </w:rPr>
            </w:pPr>
            <w:r w:rsidRPr="00BD2699">
              <w:rPr>
                <w:rFonts w:ascii="Times New Roman" w:eastAsia="Times New Roman" w:hAnsi="Times New Roman" w:cs="Times New Roman"/>
                <w:color w:val="000000"/>
                <w:spacing w:val="2"/>
                <w:sz w:val="24"/>
                <w:szCs w:val="28"/>
                <w:shd w:val="clear" w:color="auto" w:fill="FFFFFF"/>
              </w:rPr>
              <w:t>где:</w:t>
            </w:r>
          </w:p>
          <w:p w14:paraId="4ACA2E55" w14:textId="7AA50E9B" w:rsidR="00B04764" w:rsidRPr="00BD2699" w:rsidRDefault="00B04764" w:rsidP="00B04764">
            <w:pPr>
              <w:ind w:firstLine="709"/>
              <w:jc w:val="both"/>
              <w:rPr>
                <w:rFonts w:ascii="Times New Roman" w:eastAsia="Times New Roman" w:hAnsi="Times New Roman" w:cs="Times New Roman"/>
                <w:color w:val="000000"/>
                <w:sz w:val="24"/>
                <w:szCs w:val="28"/>
              </w:rPr>
            </w:pPr>
            <w:r w:rsidRPr="00BD2699">
              <w:rPr>
                <w:rFonts w:ascii="Times New Roman" w:eastAsia="Times New Roman" w:hAnsi="Times New Roman" w:cs="Times New Roman"/>
                <w:color w:val="000000"/>
                <w:sz w:val="24"/>
                <w:szCs w:val="28"/>
              </w:rPr>
              <w:t xml:space="preserve">УН – сумма уплаченных налогов </w:t>
            </w:r>
            <w:r w:rsidR="00896EE3">
              <w:rPr>
                <w:rFonts w:ascii="Times New Roman" w:eastAsia="Times New Roman" w:hAnsi="Times New Roman" w:cs="Times New Roman"/>
                <w:color w:val="000000"/>
                <w:sz w:val="24"/>
                <w:szCs w:val="28"/>
              </w:rPr>
              <w:br/>
            </w:r>
            <w:r w:rsidRPr="00BD2699">
              <w:rPr>
                <w:rFonts w:ascii="Times New Roman" w:eastAsia="Times New Roman" w:hAnsi="Times New Roman" w:cs="Times New Roman"/>
                <w:b/>
                <w:color w:val="000000"/>
                <w:sz w:val="24"/>
                <w:szCs w:val="28"/>
              </w:rPr>
              <w:t>в течение</w:t>
            </w:r>
            <w:r w:rsidRPr="00BD2699">
              <w:rPr>
                <w:rFonts w:ascii="Times New Roman" w:eastAsia="Times New Roman" w:hAnsi="Times New Roman" w:cs="Times New Roman"/>
                <w:color w:val="000000"/>
                <w:sz w:val="24"/>
                <w:szCs w:val="28"/>
              </w:rPr>
              <w:t xml:space="preserve"> рассчитываем</w:t>
            </w:r>
            <w:r w:rsidRPr="00BD2699">
              <w:rPr>
                <w:rFonts w:ascii="Times New Roman" w:eastAsia="Times New Roman" w:hAnsi="Times New Roman" w:cs="Times New Roman"/>
                <w:b/>
                <w:color w:val="000000"/>
                <w:sz w:val="24"/>
                <w:szCs w:val="28"/>
              </w:rPr>
              <w:t>ого</w:t>
            </w:r>
            <w:r w:rsidRPr="00BD2699">
              <w:rPr>
                <w:rFonts w:ascii="Times New Roman" w:eastAsia="Times New Roman" w:hAnsi="Times New Roman" w:cs="Times New Roman"/>
                <w:color w:val="000000"/>
                <w:sz w:val="24"/>
                <w:szCs w:val="28"/>
              </w:rPr>
              <w:t xml:space="preserve"> трехлетн</w:t>
            </w:r>
            <w:r w:rsidRPr="00BD2699">
              <w:rPr>
                <w:rFonts w:ascii="Times New Roman" w:eastAsia="Times New Roman" w:hAnsi="Times New Roman" w:cs="Times New Roman"/>
                <w:b/>
                <w:color w:val="000000"/>
                <w:sz w:val="24"/>
                <w:szCs w:val="28"/>
              </w:rPr>
              <w:t>его</w:t>
            </w:r>
            <w:r w:rsidRPr="00BD2699">
              <w:rPr>
                <w:rFonts w:ascii="Times New Roman" w:eastAsia="Times New Roman" w:hAnsi="Times New Roman" w:cs="Times New Roman"/>
                <w:color w:val="000000"/>
                <w:sz w:val="24"/>
                <w:szCs w:val="28"/>
              </w:rPr>
              <w:t xml:space="preserve"> период</w:t>
            </w:r>
            <w:r w:rsidRPr="00BD2699">
              <w:rPr>
                <w:rFonts w:ascii="Times New Roman" w:eastAsia="Times New Roman" w:hAnsi="Times New Roman" w:cs="Times New Roman"/>
                <w:b/>
                <w:color w:val="000000"/>
                <w:sz w:val="24"/>
                <w:szCs w:val="28"/>
              </w:rPr>
              <w:t>а</w:t>
            </w:r>
            <w:r w:rsidRPr="00BD2699">
              <w:rPr>
                <w:rFonts w:ascii="Times New Roman" w:eastAsia="Times New Roman" w:hAnsi="Times New Roman" w:cs="Times New Roman"/>
                <w:color w:val="000000"/>
                <w:sz w:val="24"/>
                <w:szCs w:val="28"/>
              </w:rPr>
              <w:t>;</w:t>
            </w:r>
          </w:p>
          <w:p w14:paraId="49604F7D"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 xml:space="preserve">СД – сумма дохода 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предшествующих предыдущему году согласно данным информационных систем органов государственных доходов;</w:t>
            </w:r>
          </w:p>
          <w:p w14:paraId="0ED65BBC" w14:textId="2F5E4DA9"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color w:val="000000"/>
                <w:spacing w:val="2"/>
                <w:sz w:val="24"/>
                <w:szCs w:val="28"/>
                <w:shd w:val="clear" w:color="auto" w:fill="FFFFFF"/>
              </w:rPr>
              <w:t xml:space="preserve">Если показатель уплаченных </w:t>
            </w:r>
            <w:r w:rsidR="00896EE3">
              <w:rPr>
                <w:rFonts w:ascii="Times New Roman" w:eastAsia="Times New Roman" w:hAnsi="Times New Roman" w:cs="Times New Roman"/>
                <w:color w:val="000000"/>
                <w:spacing w:val="2"/>
                <w:sz w:val="24"/>
                <w:szCs w:val="28"/>
                <w:shd w:val="clear" w:color="auto" w:fill="FFFFFF"/>
              </w:rPr>
              <w:br/>
            </w:r>
            <w:r w:rsidRPr="00BD2699">
              <w:rPr>
                <w:rFonts w:ascii="Times New Roman" w:eastAsia="Times New Roman" w:hAnsi="Times New Roman" w:cs="Times New Roman"/>
                <w:color w:val="000000"/>
                <w:spacing w:val="2"/>
                <w:sz w:val="24"/>
                <w:szCs w:val="28"/>
                <w:shd w:val="clear" w:color="auto" w:fill="FFFFFF"/>
              </w:rPr>
              <w:t xml:space="preserve">налогов потенциального поставщика превышает минимальное значение такого </w:t>
            </w:r>
            <w:r w:rsidR="00896EE3">
              <w:rPr>
                <w:rFonts w:ascii="Times New Roman" w:eastAsia="Times New Roman" w:hAnsi="Times New Roman" w:cs="Times New Roman"/>
                <w:color w:val="000000"/>
                <w:spacing w:val="2"/>
                <w:sz w:val="24"/>
                <w:szCs w:val="28"/>
                <w:shd w:val="clear" w:color="auto" w:fill="FFFFFF"/>
              </w:rPr>
              <w:br/>
            </w:r>
            <w:r w:rsidRPr="00BD2699">
              <w:rPr>
                <w:rFonts w:ascii="Times New Roman" w:eastAsia="Times New Roman" w:hAnsi="Times New Roman" w:cs="Times New Roman"/>
                <w:color w:val="000000"/>
                <w:spacing w:val="2"/>
                <w:sz w:val="24"/>
                <w:szCs w:val="28"/>
                <w:shd w:val="clear" w:color="auto" w:fill="FFFFFF"/>
              </w:rPr>
              <w:t xml:space="preserve">показателя (3%), то за каждую превышающую ноль целых одну десятую процента (0,1%) веб-порталом автоматически начисляется </w:t>
            </w:r>
            <w:r w:rsidRPr="00BD2699">
              <w:rPr>
                <w:rFonts w:ascii="Times New Roman" w:eastAsia="Times New Roman" w:hAnsi="Times New Roman" w:cs="Times New Roman"/>
                <w:color w:val="000000"/>
                <w:spacing w:val="2"/>
                <w:sz w:val="24"/>
                <w:szCs w:val="28"/>
                <w:shd w:val="clear" w:color="auto" w:fill="FFFFFF"/>
              </w:rPr>
              <w:lastRenderedPageBreak/>
              <w:t>дополнительный процент в размере ноль целях пять десятых процента (0,5%).</w:t>
            </w:r>
          </w:p>
          <w:p w14:paraId="5089EF4C" w14:textId="682CC348"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color w:val="000000"/>
                <w:spacing w:val="2"/>
                <w:sz w:val="24"/>
                <w:szCs w:val="28"/>
                <w:shd w:val="clear" w:color="auto" w:fill="FFFFFF"/>
              </w:rPr>
              <w:t>ПФОТ – показатель фонда оплаты</w:t>
            </w:r>
            <w:r w:rsidR="00896EE3">
              <w:rPr>
                <w:rFonts w:ascii="Times New Roman" w:eastAsia="Times New Roman" w:hAnsi="Times New Roman" w:cs="Times New Roman"/>
                <w:color w:val="000000"/>
                <w:spacing w:val="2"/>
                <w:sz w:val="24"/>
                <w:szCs w:val="28"/>
                <w:shd w:val="clear" w:color="auto" w:fill="FFFFFF"/>
              </w:rPr>
              <w:br/>
            </w:r>
            <w:r w:rsidRPr="00BD2699">
              <w:rPr>
                <w:rFonts w:ascii="Times New Roman" w:eastAsia="Times New Roman" w:hAnsi="Times New Roman" w:cs="Times New Roman"/>
                <w:color w:val="000000"/>
                <w:spacing w:val="2"/>
                <w:sz w:val="24"/>
                <w:szCs w:val="28"/>
                <w:shd w:val="clear" w:color="auto" w:fill="FFFFFF"/>
              </w:rPr>
              <w:t>труда работников потенциального</w:t>
            </w:r>
            <w:r w:rsidR="00896EE3">
              <w:rPr>
                <w:rFonts w:ascii="Times New Roman" w:eastAsia="Times New Roman" w:hAnsi="Times New Roman" w:cs="Times New Roman"/>
                <w:color w:val="000000"/>
                <w:spacing w:val="2"/>
                <w:sz w:val="24"/>
                <w:szCs w:val="28"/>
                <w:shd w:val="clear" w:color="auto" w:fill="FFFFFF"/>
              </w:rPr>
              <w:br/>
            </w:r>
            <w:r w:rsidRPr="00BD2699">
              <w:rPr>
                <w:rFonts w:ascii="Times New Roman" w:eastAsia="Times New Roman" w:hAnsi="Times New Roman" w:cs="Times New Roman"/>
                <w:color w:val="000000"/>
                <w:spacing w:val="2"/>
                <w:sz w:val="24"/>
                <w:szCs w:val="28"/>
                <w:shd w:val="clear" w:color="auto" w:fill="FFFFFF"/>
              </w:rPr>
              <w:t xml:space="preserve">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предшествующих предыдущему году</w:t>
            </w:r>
            <w:r w:rsidR="00896EE3">
              <w:rPr>
                <w:rFonts w:ascii="Times New Roman" w:eastAsia="Times New Roman" w:hAnsi="Times New Roman" w:cs="Times New Roman"/>
                <w:sz w:val="24"/>
                <w:szCs w:val="28"/>
              </w:rPr>
              <w:t xml:space="preserve"> согласно данным информационных </w:t>
            </w:r>
            <w:r w:rsidRPr="00BD2699">
              <w:rPr>
                <w:rFonts w:ascii="Times New Roman" w:eastAsia="Times New Roman" w:hAnsi="Times New Roman" w:cs="Times New Roman"/>
                <w:sz w:val="24"/>
                <w:szCs w:val="28"/>
              </w:rPr>
              <w:t>систем органов государственных доходов, рассчитываемый в процентном соотношении в следующем</w:t>
            </w:r>
            <w:r w:rsidR="00896EE3">
              <w:rPr>
                <w:rFonts w:ascii="Times New Roman" w:eastAsia="Times New Roman" w:hAnsi="Times New Roman" w:cs="Times New Roman"/>
                <w:sz w:val="24"/>
                <w:szCs w:val="28"/>
              </w:rPr>
              <w:br/>
            </w:r>
            <w:r w:rsidRPr="00BD2699">
              <w:rPr>
                <w:rFonts w:ascii="Times New Roman" w:eastAsia="Times New Roman" w:hAnsi="Times New Roman" w:cs="Times New Roman"/>
                <w:sz w:val="24"/>
                <w:szCs w:val="28"/>
              </w:rPr>
              <w:t xml:space="preserve"> порядке. </w:t>
            </w:r>
          </w:p>
          <w:p w14:paraId="56AE12B2"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ПФОТ = ФОТ / СГЗ x 100%,</w:t>
            </w:r>
          </w:p>
          <w:p w14:paraId="6F101991"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где:</w:t>
            </w:r>
          </w:p>
          <w:p w14:paraId="57B1C6E3"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 xml:space="preserve">ФОТ – сумма фонда оплаты труда потенциального поставщика </w:t>
            </w:r>
            <w:r w:rsidRPr="00BD2699">
              <w:rPr>
                <w:rFonts w:ascii="Times New Roman" w:eastAsia="Times New Roman" w:hAnsi="Times New Roman" w:cs="Times New Roman"/>
                <w:b/>
                <w:sz w:val="24"/>
                <w:szCs w:val="28"/>
              </w:rPr>
              <w:t>за три года</w:t>
            </w:r>
            <w:r w:rsidRPr="00BD2699">
              <w:rPr>
                <w:rFonts w:ascii="Times New Roman" w:eastAsia="Times New Roman" w:hAnsi="Times New Roman" w:cs="Times New Roman"/>
                <w:sz w:val="24"/>
                <w:szCs w:val="28"/>
              </w:rPr>
              <w:t>, предшествующих предыдущему году согласно данным информационных систем органов государственных доходов;</w:t>
            </w:r>
          </w:p>
          <w:p w14:paraId="5A27CC01" w14:textId="77777777"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sz w:val="24"/>
                <w:szCs w:val="28"/>
              </w:rPr>
              <w:t>СГЗ – сумма государственной закупки.</w:t>
            </w:r>
          </w:p>
          <w:p w14:paraId="43CA1E86" w14:textId="43327C68" w:rsidR="00B04764" w:rsidRPr="00BD2699" w:rsidRDefault="00B04764" w:rsidP="00B04764">
            <w:pPr>
              <w:ind w:firstLine="709"/>
              <w:jc w:val="both"/>
              <w:rPr>
                <w:rFonts w:ascii="Times New Roman" w:eastAsia="Times New Roman" w:hAnsi="Times New Roman" w:cs="Times New Roman"/>
                <w:sz w:val="24"/>
                <w:szCs w:val="28"/>
              </w:rPr>
            </w:pPr>
            <w:r w:rsidRPr="00BD2699">
              <w:rPr>
                <w:rFonts w:ascii="Times New Roman" w:eastAsia="Times New Roman" w:hAnsi="Times New Roman" w:cs="Times New Roman"/>
                <w:color w:val="000000"/>
                <w:spacing w:val="2"/>
                <w:sz w:val="24"/>
                <w:szCs w:val="28"/>
                <w:shd w:val="clear" w:color="auto" w:fill="FFFFFF"/>
              </w:rPr>
              <w:t xml:space="preserve">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w:t>
            </w:r>
            <w:r w:rsidR="00896EE3">
              <w:rPr>
                <w:rFonts w:ascii="Times New Roman" w:eastAsia="Times New Roman" w:hAnsi="Times New Roman" w:cs="Times New Roman"/>
                <w:color w:val="000000"/>
                <w:spacing w:val="2"/>
                <w:sz w:val="24"/>
                <w:szCs w:val="28"/>
                <w:shd w:val="clear" w:color="auto" w:fill="FFFFFF"/>
              </w:rPr>
              <w:br/>
            </w:r>
            <w:r w:rsidRPr="00BD2699">
              <w:rPr>
                <w:rFonts w:ascii="Times New Roman" w:eastAsia="Times New Roman" w:hAnsi="Times New Roman" w:cs="Times New Roman"/>
                <w:color w:val="000000"/>
                <w:spacing w:val="2"/>
                <w:sz w:val="24"/>
                <w:szCs w:val="28"/>
                <w:shd w:val="clear" w:color="auto" w:fill="FFFFFF"/>
              </w:rPr>
              <w:t xml:space="preserve">веб-порталом автоматически начисляется дополнительный процент в размере </w:t>
            </w:r>
            <w:r w:rsidR="00896EE3">
              <w:rPr>
                <w:rFonts w:ascii="Times New Roman" w:eastAsia="Times New Roman" w:hAnsi="Times New Roman" w:cs="Times New Roman"/>
                <w:color w:val="000000"/>
                <w:spacing w:val="2"/>
                <w:sz w:val="24"/>
                <w:szCs w:val="28"/>
                <w:shd w:val="clear" w:color="auto" w:fill="FFFFFF"/>
              </w:rPr>
              <w:br/>
            </w:r>
            <w:r w:rsidRPr="00BD2699">
              <w:rPr>
                <w:rFonts w:ascii="Times New Roman" w:eastAsia="Times New Roman" w:hAnsi="Times New Roman" w:cs="Times New Roman"/>
                <w:color w:val="000000"/>
                <w:spacing w:val="2"/>
                <w:sz w:val="24"/>
                <w:szCs w:val="28"/>
                <w:shd w:val="clear" w:color="auto" w:fill="FFFFFF"/>
              </w:rPr>
              <w:t xml:space="preserve">ноль целых одной десятой </w:t>
            </w:r>
            <w:r w:rsidR="00896EE3">
              <w:rPr>
                <w:rFonts w:ascii="Times New Roman" w:eastAsia="Times New Roman" w:hAnsi="Times New Roman" w:cs="Times New Roman"/>
                <w:color w:val="000000"/>
                <w:spacing w:val="2"/>
                <w:sz w:val="24"/>
                <w:szCs w:val="28"/>
                <w:shd w:val="clear" w:color="auto" w:fill="FFFFFF"/>
              </w:rPr>
              <w:br/>
            </w:r>
            <w:r w:rsidRPr="00BD2699">
              <w:rPr>
                <w:rFonts w:ascii="Times New Roman" w:eastAsia="Times New Roman" w:hAnsi="Times New Roman" w:cs="Times New Roman"/>
                <w:color w:val="000000"/>
                <w:spacing w:val="2"/>
                <w:sz w:val="24"/>
                <w:szCs w:val="28"/>
                <w:shd w:val="clear" w:color="auto" w:fill="FFFFFF"/>
              </w:rPr>
              <w:t>процента (0,1%).</w:t>
            </w:r>
          </w:p>
          <w:p w14:paraId="3C01E48E" w14:textId="304D247D"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1</w:t>
            </w:r>
          </w:p>
          <w:p w14:paraId="2FA9E850"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24421EE7"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17A85598" w14:textId="77777777" w:rsidR="00B04764" w:rsidRPr="00BD2699" w:rsidRDefault="00B04764" w:rsidP="00B04764">
            <w:pPr>
              <w:ind w:firstLine="446"/>
              <w:rPr>
                <w:rFonts w:ascii="Times New Roman" w:eastAsia="Times New Roman" w:hAnsi="Times New Roman" w:cs="Times New Roman"/>
                <w:i/>
                <w:color w:val="000000" w:themeColor="text1"/>
                <w:sz w:val="24"/>
                <w:szCs w:val="24"/>
              </w:rPr>
            </w:pPr>
          </w:p>
          <w:p w14:paraId="2FE85B3F"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00014E1E"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4D1E7A4A"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254634DD"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lastRenderedPageBreak/>
              <w:t xml:space="preserve">по закупкам, стоимость которых не превышает </w:t>
            </w:r>
            <w:proofErr w:type="spellStart"/>
            <w:r w:rsidRPr="00BD2699">
              <w:rPr>
                <w:rFonts w:ascii="Times New Roman" w:eastAsia="Times New Roman" w:hAnsi="Times New Roman" w:cs="Times New Roman"/>
                <w:color w:val="000000" w:themeColor="text1"/>
                <w:sz w:val="24"/>
                <w:szCs w:val="24"/>
              </w:rPr>
              <w:t>двухстатысячекратного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установленного на соответствующий финансовый год</w:t>
            </w:r>
          </w:p>
          <w:p w14:paraId="1166CAAB"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830" w:type="dxa"/>
              <w:tblLayout w:type="fixed"/>
              <w:tblLook w:val="04A0" w:firstRow="1" w:lastRow="0" w:firstColumn="1" w:lastColumn="0" w:noHBand="0" w:noVBand="1"/>
            </w:tblPr>
            <w:tblGrid>
              <w:gridCol w:w="424"/>
              <w:gridCol w:w="1137"/>
              <w:gridCol w:w="1422"/>
              <w:gridCol w:w="924"/>
              <w:gridCol w:w="923"/>
            </w:tblGrid>
            <w:tr w:rsidR="00B04764" w:rsidRPr="00BD2699" w14:paraId="36BEED25" w14:textId="77777777" w:rsidTr="00450A7E">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2F79C76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37" w:type="dxa"/>
                  <w:tcBorders>
                    <w:top w:val="single" w:sz="4" w:space="0" w:color="auto"/>
                    <w:left w:val="nil"/>
                    <w:bottom w:val="single" w:sz="4" w:space="0" w:color="auto"/>
                    <w:right w:val="single" w:sz="4" w:space="0" w:color="auto"/>
                  </w:tcBorders>
                  <w:hideMark/>
                </w:tcPr>
                <w:p w14:paraId="6DE4A17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422" w:type="dxa"/>
                  <w:tcBorders>
                    <w:top w:val="single" w:sz="4" w:space="0" w:color="auto"/>
                    <w:left w:val="nil"/>
                    <w:bottom w:val="single" w:sz="4" w:space="0" w:color="auto"/>
                    <w:right w:val="single" w:sz="4" w:space="0" w:color="auto"/>
                  </w:tcBorders>
                  <w:hideMark/>
                </w:tcPr>
                <w:p w14:paraId="771388F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24" w:type="dxa"/>
                  <w:tcBorders>
                    <w:top w:val="single" w:sz="4" w:space="0" w:color="auto"/>
                    <w:left w:val="nil"/>
                    <w:bottom w:val="single" w:sz="4" w:space="0" w:color="auto"/>
                    <w:right w:val="single" w:sz="4" w:space="0" w:color="auto"/>
                  </w:tcBorders>
                  <w:hideMark/>
                </w:tcPr>
                <w:p w14:paraId="437ADFE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23" w:type="dxa"/>
                  <w:tcBorders>
                    <w:top w:val="single" w:sz="4" w:space="0" w:color="auto"/>
                    <w:left w:val="nil"/>
                    <w:bottom w:val="single" w:sz="4" w:space="0" w:color="auto"/>
                    <w:right w:val="single" w:sz="4" w:space="0" w:color="auto"/>
                  </w:tcBorders>
                  <w:hideMark/>
                </w:tcPr>
                <w:p w14:paraId="5BED396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2B44F396" w14:textId="77777777" w:rsidTr="00450A7E">
              <w:trPr>
                <w:trHeight w:val="300"/>
              </w:trPr>
              <w:tc>
                <w:tcPr>
                  <w:tcW w:w="424" w:type="dxa"/>
                  <w:tcBorders>
                    <w:top w:val="nil"/>
                    <w:left w:val="single" w:sz="4" w:space="0" w:color="auto"/>
                    <w:bottom w:val="single" w:sz="4" w:space="0" w:color="auto"/>
                    <w:right w:val="single" w:sz="4" w:space="0" w:color="auto"/>
                  </w:tcBorders>
                  <w:noWrap/>
                  <w:vAlign w:val="center"/>
                  <w:hideMark/>
                </w:tcPr>
                <w:p w14:paraId="559C730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37" w:type="dxa"/>
                  <w:tcBorders>
                    <w:top w:val="nil"/>
                    <w:left w:val="nil"/>
                    <w:bottom w:val="single" w:sz="4" w:space="0" w:color="auto"/>
                    <w:right w:val="single" w:sz="4" w:space="0" w:color="auto"/>
                  </w:tcBorders>
                  <w:noWrap/>
                  <w:vAlign w:val="bottom"/>
                  <w:hideMark/>
                </w:tcPr>
                <w:p w14:paraId="6DF6353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422" w:type="dxa"/>
                  <w:tcBorders>
                    <w:top w:val="nil"/>
                    <w:left w:val="nil"/>
                    <w:bottom w:val="single" w:sz="4" w:space="0" w:color="auto"/>
                    <w:right w:val="single" w:sz="4" w:space="0" w:color="auto"/>
                  </w:tcBorders>
                  <w:noWrap/>
                  <w:vAlign w:val="bottom"/>
                  <w:hideMark/>
                </w:tcPr>
                <w:p w14:paraId="1964CFC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24" w:type="dxa"/>
                  <w:tcBorders>
                    <w:top w:val="nil"/>
                    <w:left w:val="nil"/>
                    <w:bottom w:val="single" w:sz="4" w:space="0" w:color="auto"/>
                    <w:right w:val="single" w:sz="4" w:space="0" w:color="auto"/>
                  </w:tcBorders>
                  <w:vAlign w:val="bottom"/>
                  <w:hideMark/>
                </w:tcPr>
                <w:p w14:paraId="4B84F4A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23" w:type="dxa"/>
                  <w:tcBorders>
                    <w:top w:val="nil"/>
                    <w:left w:val="nil"/>
                    <w:bottom w:val="single" w:sz="4" w:space="0" w:color="auto"/>
                    <w:right w:val="single" w:sz="4" w:space="0" w:color="auto"/>
                  </w:tcBorders>
                  <w:vAlign w:val="bottom"/>
                  <w:hideMark/>
                </w:tcPr>
                <w:p w14:paraId="46AB0E00"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25%</w:t>
                  </w:r>
                </w:p>
              </w:tc>
            </w:tr>
            <w:tr w:rsidR="00B04764" w:rsidRPr="00BD2699" w14:paraId="61308BD5" w14:textId="77777777" w:rsidTr="00450A7E">
              <w:trPr>
                <w:trHeight w:val="300"/>
              </w:trPr>
              <w:tc>
                <w:tcPr>
                  <w:tcW w:w="424" w:type="dxa"/>
                  <w:tcBorders>
                    <w:top w:val="nil"/>
                    <w:left w:val="single" w:sz="4" w:space="0" w:color="auto"/>
                    <w:bottom w:val="single" w:sz="4" w:space="0" w:color="auto"/>
                    <w:right w:val="single" w:sz="4" w:space="0" w:color="auto"/>
                  </w:tcBorders>
                  <w:noWrap/>
                  <w:vAlign w:val="center"/>
                  <w:hideMark/>
                </w:tcPr>
                <w:p w14:paraId="0F41965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37" w:type="dxa"/>
                  <w:tcBorders>
                    <w:top w:val="nil"/>
                    <w:left w:val="nil"/>
                    <w:bottom w:val="single" w:sz="4" w:space="0" w:color="auto"/>
                    <w:right w:val="single" w:sz="4" w:space="0" w:color="auto"/>
                  </w:tcBorders>
                  <w:noWrap/>
                  <w:vAlign w:val="bottom"/>
                  <w:hideMark/>
                </w:tcPr>
                <w:p w14:paraId="6230463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422" w:type="dxa"/>
                  <w:tcBorders>
                    <w:top w:val="nil"/>
                    <w:left w:val="nil"/>
                    <w:bottom w:val="single" w:sz="4" w:space="0" w:color="auto"/>
                    <w:right w:val="single" w:sz="4" w:space="0" w:color="auto"/>
                  </w:tcBorders>
                  <w:noWrap/>
                  <w:vAlign w:val="bottom"/>
                  <w:hideMark/>
                </w:tcPr>
                <w:p w14:paraId="71028CE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24" w:type="dxa"/>
                  <w:tcBorders>
                    <w:top w:val="nil"/>
                    <w:left w:val="nil"/>
                    <w:bottom w:val="single" w:sz="4" w:space="0" w:color="auto"/>
                    <w:right w:val="single" w:sz="4" w:space="0" w:color="auto"/>
                  </w:tcBorders>
                  <w:vAlign w:val="bottom"/>
                  <w:hideMark/>
                </w:tcPr>
                <w:p w14:paraId="09E5AEA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23" w:type="dxa"/>
                  <w:tcBorders>
                    <w:top w:val="nil"/>
                    <w:left w:val="nil"/>
                    <w:bottom w:val="single" w:sz="4" w:space="0" w:color="auto"/>
                    <w:right w:val="single" w:sz="4" w:space="0" w:color="auto"/>
                  </w:tcBorders>
                  <w:vAlign w:val="bottom"/>
                  <w:hideMark/>
                </w:tcPr>
                <w:p w14:paraId="4B6AF472"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65%</w:t>
                  </w:r>
                </w:p>
              </w:tc>
            </w:tr>
            <w:tr w:rsidR="00B04764" w:rsidRPr="00BD2699" w14:paraId="433B5431" w14:textId="77777777" w:rsidTr="00450A7E">
              <w:trPr>
                <w:trHeight w:val="300"/>
              </w:trPr>
              <w:tc>
                <w:tcPr>
                  <w:tcW w:w="424" w:type="dxa"/>
                  <w:tcBorders>
                    <w:top w:val="nil"/>
                    <w:left w:val="single" w:sz="4" w:space="0" w:color="auto"/>
                    <w:bottom w:val="single" w:sz="4" w:space="0" w:color="auto"/>
                    <w:right w:val="single" w:sz="4" w:space="0" w:color="auto"/>
                  </w:tcBorders>
                  <w:noWrap/>
                  <w:vAlign w:val="center"/>
                  <w:hideMark/>
                </w:tcPr>
                <w:p w14:paraId="1E71631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37" w:type="dxa"/>
                  <w:tcBorders>
                    <w:top w:val="nil"/>
                    <w:left w:val="nil"/>
                    <w:bottom w:val="single" w:sz="4" w:space="0" w:color="auto"/>
                    <w:right w:val="single" w:sz="4" w:space="0" w:color="auto"/>
                  </w:tcBorders>
                  <w:noWrap/>
                  <w:vAlign w:val="bottom"/>
                  <w:hideMark/>
                </w:tcPr>
                <w:p w14:paraId="7EF334B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422" w:type="dxa"/>
                  <w:tcBorders>
                    <w:top w:val="nil"/>
                    <w:left w:val="nil"/>
                    <w:bottom w:val="single" w:sz="4" w:space="0" w:color="auto"/>
                    <w:right w:val="single" w:sz="4" w:space="0" w:color="auto"/>
                  </w:tcBorders>
                  <w:noWrap/>
                  <w:vAlign w:val="bottom"/>
                  <w:hideMark/>
                </w:tcPr>
                <w:p w14:paraId="533ADFC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24" w:type="dxa"/>
                  <w:tcBorders>
                    <w:top w:val="nil"/>
                    <w:left w:val="nil"/>
                    <w:bottom w:val="single" w:sz="4" w:space="0" w:color="auto"/>
                    <w:right w:val="single" w:sz="4" w:space="0" w:color="auto"/>
                  </w:tcBorders>
                  <w:vAlign w:val="bottom"/>
                  <w:hideMark/>
                </w:tcPr>
                <w:p w14:paraId="14A8645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23" w:type="dxa"/>
                  <w:tcBorders>
                    <w:top w:val="nil"/>
                    <w:left w:val="nil"/>
                    <w:bottom w:val="single" w:sz="4" w:space="0" w:color="auto"/>
                    <w:right w:val="single" w:sz="4" w:space="0" w:color="auto"/>
                  </w:tcBorders>
                  <w:vAlign w:val="bottom"/>
                  <w:hideMark/>
                </w:tcPr>
                <w:p w14:paraId="1B1D0451"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50%</w:t>
                  </w:r>
                </w:p>
              </w:tc>
            </w:tr>
            <w:tr w:rsidR="00B04764" w:rsidRPr="00BD2699" w14:paraId="05891BF6" w14:textId="77777777" w:rsidTr="00450A7E">
              <w:trPr>
                <w:trHeight w:val="396"/>
              </w:trPr>
              <w:tc>
                <w:tcPr>
                  <w:tcW w:w="424" w:type="dxa"/>
                  <w:tcBorders>
                    <w:top w:val="nil"/>
                    <w:left w:val="single" w:sz="4" w:space="0" w:color="auto"/>
                    <w:bottom w:val="single" w:sz="4" w:space="0" w:color="auto"/>
                    <w:right w:val="single" w:sz="4" w:space="0" w:color="auto"/>
                  </w:tcBorders>
                  <w:noWrap/>
                  <w:vAlign w:val="bottom"/>
                  <w:hideMark/>
                </w:tcPr>
                <w:p w14:paraId="5619C18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37" w:type="dxa"/>
                  <w:tcBorders>
                    <w:top w:val="nil"/>
                    <w:left w:val="nil"/>
                    <w:bottom w:val="single" w:sz="4" w:space="0" w:color="auto"/>
                    <w:right w:val="single" w:sz="4" w:space="0" w:color="auto"/>
                  </w:tcBorders>
                  <w:noWrap/>
                  <w:vAlign w:val="bottom"/>
                  <w:hideMark/>
                </w:tcPr>
                <w:p w14:paraId="352331B0"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422" w:type="dxa"/>
                  <w:tcBorders>
                    <w:top w:val="nil"/>
                    <w:left w:val="nil"/>
                    <w:bottom w:val="single" w:sz="4" w:space="0" w:color="auto"/>
                    <w:right w:val="single" w:sz="4" w:space="0" w:color="auto"/>
                  </w:tcBorders>
                  <w:noWrap/>
                  <w:vAlign w:val="bottom"/>
                  <w:hideMark/>
                </w:tcPr>
                <w:p w14:paraId="2236034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24" w:type="dxa"/>
                  <w:tcBorders>
                    <w:top w:val="nil"/>
                    <w:left w:val="nil"/>
                    <w:bottom w:val="single" w:sz="4" w:space="0" w:color="auto"/>
                    <w:right w:val="single" w:sz="4" w:space="0" w:color="auto"/>
                  </w:tcBorders>
                  <w:vAlign w:val="bottom"/>
                  <w:hideMark/>
                </w:tcPr>
                <w:p w14:paraId="0D27B80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23" w:type="dxa"/>
                  <w:tcBorders>
                    <w:top w:val="nil"/>
                    <w:left w:val="nil"/>
                    <w:bottom w:val="single" w:sz="4" w:space="0" w:color="auto"/>
                    <w:right w:val="single" w:sz="4" w:space="0" w:color="auto"/>
                  </w:tcBorders>
                  <w:vAlign w:val="bottom"/>
                  <w:hideMark/>
                </w:tcPr>
                <w:p w14:paraId="47CC594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b/>
                      <w:color w:val="000000" w:themeColor="text1"/>
                      <w:sz w:val="24"/>
                      <w:szCs w:val="24"/>
                    </w:rPr>
                    <w:t>140</w:t>
                  </w:r>
                  <w:r w:rsidRPr="00BD2699">
                    <w:rPr>
                      <w:rFonts w:ascii="Times New Roman" w:eastAsia="Times New Roman" w:hAnsi="Times New Roman" w:cs="Times New Roman"/>
                      <w:color w:val="000000" w:themeColor="text1"/>
                      <w:sz w:val="24"/>
                      <w:szCs w:val="24"/>
                    </w:rPr>
                    <w:t>%</w:t>
                  </w:r>
                </w:p>
              </w:tc>
            </w:tr>
          </w:tbl>
          <w:p w14:paraId="78025DD1"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0DD616A3"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2</w:t>
            </w:r>
          </w:p>
          <w:p w14:paraId="692F1A7E"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4F184537"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712428F7"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134491B5"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4896778A"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4F74B81B" w14:textId="63CA2484"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участвующего в государственных закупках, стоимость которых составляет в пределах от </w:t>
            </w:r>
            <w:proofErr w:type="spellStart"/>
            <w:r w:rsidRPr="00BD2699">
              <w:rPr>
                <w:rFonts w:ascii="Times New Roman" w:eastAsia="Times New Roman" w:hAnsi="Times New Roman" w:cs="Times New Roman"/>
                <w:color w:val="000000" w:themeColor="text1"/>
                <w:sz w:val="24"/>
                <w:szCs w:val="24"/>
              </w:rPr>
              <w:t>двухстатысячекратного</w:t>
            </w:r>
            <w:proofErr w:type="spellEnd"/>
            <w:r w:rsidRPr="00BD2699">
              <w:rPr>
                <w:rFonts w:ascii="Times New Roman" w:eastAsia="Times New Roman" w:hAnsi="Times New Roman" w:cs="Times New Roman"/>
                <w:color w:val="000000" w:themeColor="text1"/>
                <w:sz w:val="24"/>
                <w:szCs w:val="24"/>
              </w:rPr>
              <w:t xml:space="preserve"> до </w:t>
            </w:r>
            <w:proofErr w:type="spellStart"/>
            <w:r w:rsidRPr="00BD2699">
              <w:rPr>
                <w:rFonts w:ascii="Times New Roman" w:eastAsia="Times New Roman" w:hAnsi="Times New Roman" w:cs="Times New Roman"/>
                <w:color w:val="000000" w:themeColor="text1"/>
                <w:sz w:val="24"/>
                <w:szCs w:val="24"/>
              </w:rPr>
              <w:lastRenderedPageBreak/>
              <w:t>четырехстатысячекратного</w:t>
            </w:r>
            <w:proofErr w:type="spellEnd"/>
            <w:r w:rsidRPr="00BD2699">
              <w:rPr>
                <w:rFonts w:ascii="Times New Roman" w:eastAsia="Times New Roman" w:hAnsi="Times New Roman" w:cs="Times New Roman"/>
                <w:color w:val="000000" w:themeColor="text1"/>
                <w:sz w:val="24"/>
                <w:szCs w:val="24"/>
              </w:rPr>
              <w:t xml:space="preserve"> размера </w:t>
            </w:r>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 xml:space="preserve">месячного расчетного показателя, </w:t>
            </w:r>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 xml:space="preserve">установленного на соответствующий </w:t>
            </w:r>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финансовый год</w:t>
            </w:r>
          </w:p>
          <w:p w14:paraId="4BC7CEE1"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740" w:type="dxa"/>
              <w:tblLayout w:type="fixed"/>
              <w:tblLook w:val="04A0" w:firstRow="1" w:lastRow="0" w:firstColumn="1" w:lastColumn="0" w:noHBand="0" w:noVBand="1"/>
            </w:tblPr>
            <w:tblGrid>
              <w:gridCol w:w="416"/>
              <w:gridCol w:w="1116"/>
              <w:gridCol w:w="1395"/>
              <w:gridCol w:w="907"/>
              <w:gridCol w:w="906"/>
            </w:tblGrid>
            <w:tr w:rsidR="00B04764" w:rsidRPr="00BD2699" w14:paraId="4050F0DA" w14:textId="77777777" w:rsidTr="00450A7E">
              <w:trPr>
                <w:trHeight w:val="822"/>
              </w:trPr>
              <w:tc>
                <w:tcPr>
                  <w:tcW w:w="416" w:type="dxa"/>
                  <w:tcBorders>
                    <w:top w:val="single" w:sz="4" w:space="0" w:color="auto"/>
                    <w:left w:val="single" w:sz="4" w:space="0" w:color="auto"/>
                    <w:bottom w:val="single" w:sz="4" w:space="0" w:color="auto"/>
                    <w:right w:val="single" w:sz="4" w:space="0" w:color="auto"/>
                  </w:tcBorders>
                  <w:noWrap/>
                  <w:hideMark/>
                </w:tcPr>
                <w:p w14:paraId="4B587D3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16" w:type="dxa"/>
                  <w:tcBorders>
                    <w:top w:val="single" w:sz="4" w:space="0" w:color="auto"/>
                    <w:left w:val="nil"/>
                    <w:bottom w:val="single" w:sz="4" w:space="0" w:color="auto"/>
                    <w:right w:val="single" w:sz="4" w:space="0" w:color="auto"/>
                  </w:tcBorders>
                  <w:hideMark/>
                </w:tcPr>
                <w:p w14:paraId="1CC9251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395" w:type="dxa"/>
                  <w:tcBorders>
                    <w:top w:val="single" w:sz="4" w:space="0" w:color="auto"/>
                    <w:left w:val="nil"/>
                    <w:bottom w:val="single" w:sz="4" w:space="0" w:color="auto"/>
                    <w:right w:val="single" w:sz="4" w:space="0" w:color="auto"/>
                  </w:tcBorders>
                  <w:hideMark/>
                </w:tcPr>
                <w:p w14:paraId="6B9FAE7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07" w:type="dxa"/>
                  <w:tcBorders>
                    <w:top w:val="single" w:sz="4" w:space="0" w:color="auto"/>
                    <w:left w:val="nil"/>
                    <w:bottom w:val="single" w:sz="4" w:space="0" w:color="auto"/>
                    <w:right w:val="single" w:sz="4" w:space="0" w:color="auto"/>
                  </w:tcBorders>
                  <w:hideMark/>
                </w:tcPr>
                <w:p w14:paraId="67F56C1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06" w:type="dxa"/>
                  <w:tcBorders>
                    <w:top w:val="single" w:sz="4" w:space="0" w:color="auto"/>
                    <w:left w:val="nil"/>
                    <w:bottom w:val="single" w:sz="4" w:space="0" w:color="auto"/>
                    <w:right w:val="single" w:sz="4" w:space="0" w:color="auto"/>
                  </w:tcBorders>
                  <w:hideMark/>
                </w:tcPr>
                <w:p w14:paraId="4D408C3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1129E1C4" w14:textId="77777777" w:rsidTr="00450A7E">
              <w:trPr>
                <w:trHeight w:val="318"/>
              </w:trPr>
              <w:tc>
                <w:tcPr>
                  <w:tcW w:w="416" w:type="dxa"/>
                  <w:tcBorders>
                    <w:top w:val="nil"/>
                    <w:left w:val="single" w:sz="4" w:space="0" w:color="auto"/>
                    <w:bottom w:val="single" w:sz="4" w:space="0" w:color="auto"/>
                    <w:right w:val="single" w:sz="4" w:space="0" w:color="auto"/>
                  </w:tcBorders>
                  <w:noWrap/>
                  <w:vAlign w:val="center"/>
                  <w:hideMark/>
                </w:tcPr>
                <w:p w14:paraId="7C34BC3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16" w:type="dxa"/>
                  <w:tcBorders>
                    <w:top w:val="nil"/>
                    <w:left w:val="nil"/>
                    <w:bottom w:val="single" w:sz="4" w:space="0" w:color="auto"/>
                    <w:right w:val="single" w:sz="4" w:space="0" w:color="auto"/>
                  </w:tcBorders>
                  <w:noWrap/>
                  <w:vAlign w:val="bottom"/>
                  <w:hideMark/>
                </w:tcPr>
                <w:p w14:paraId="0E25DF8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395" w:type="dxa"/>
                  <w:tcBorders>
                    <w:top w:val="nil"/>
                    <w:left w:val="nil"/>
                    <w:bottom w:val="single" w:sz="4" w:space="0" w:color="auto"/>
                    <w:right w:val="single" w:sz="4" w:space="0" w:color="auto"/>
                  </w:tcBorders>
                  <w:noWrap/>
                  <w:vAlign w:val="bottom"/>
                  <w:hideMark/>
                </w:tcPr>
                <w:p w14:paraId="5DFD0B9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07" w:type="dxa"/>
                  <w:tcBorders>
                    <w:top w:val="nil"/>
                    <w:left w:val="nil"/>
                    <w:bottom w:val="single" w:sz="4" w:space="0" w:color="auto"/>
                    <w:right w:val="single" w:sz="4" w:space="0" w:color="auto"/>
                  </w:tcBorders>
                  <w:vAlign w:val="bottom"/>
                  <w:hideMark/>
                </w:tcPr>
                <w:p w14:paraId="4FB29FF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06" w:type="dxa"/>
                  <w:tcBorders>
                    <w:top w:val="nil"/>
                    <w:left w:val="nil"/>
                    <w:bottom w:val="single" w:sz="4" w:space="0" w:color="auto"/>
                    <w:right w:val="single" w:sz="4" w:space="0" w:color="auto"/>
                  </w:tcBorders>
                  <w:vAlign w:val="bottom"/>
                  <w:hideMark/>
                </w:tcPr>
                <w:p w14:paraId="12B05141"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30%</w:t>
                  </w:r>
                </w:p>
              </w:tc>
            </w:tr>
            <w:tr w:rsidR="00B04764" w:rsidRPr="00BD2699" w14:paraId="108E99F4" w14:textId="77777777" w:rsidTr="00450A7E">
              <w:trPr>
                <w:trHeight w:val="318"/>
              </w:trPr>
              <w:tc>
                <w:tcPr>
                  <w:tcW w:w="416" w:type="dxa"/>
                  <w:tcBorders>
                    <w:top w:val="nil"/>
                    <w:left w:val="single" w:sz="4" w:space="0" w:color="auto"/>
                    <w:bottom w:val="single" w:sz="4" w:space="0" w:color="auto"/>
                    <w:right w:val="single" w:sz="4" w:space="0" w:color="auto"/>
                  </w:tcBorders>
                  <w:noWrap/>
                  <w:vAlign w:val="center"/>
                  <w:hideMark/>
                </w:tcPr>
                <w:p w14:paraId="0EC6C3B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16" w:type="dxa"/>
                  <w:tcBorders>
                    <w:top w:val="nil"/>
                    <w:left w:val="nil"/>
                    <w:bottom w:val="single" w:sz="4" w:space="0" w:color="auto"/>
                    <w:right w:val="single" w:sz="4" w:space="0" w:color="auto"/>
                  </w:tcBorders>
                  <w:noWrap/>
                  <w:vAlign w:val="bottom"/>
                  <w:hideMark/>
                </w:tcPr>
                <w:p w14:paraId="7A4E2C9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395" w:type="dxa"/>
                  <w:tcBorders>
                    <w:top w:val="nil"/>
                    <w:left w:val="nil"/>
                    <w:bottom w:val="single" w:sz="4" w:space="0" w:color="auto"/>
                    <w:right w:val="single" w:sz="4" w:space="0" w:color="auto"/>
                  </w:tcBorders>
                  <w:noWrap/>
                  <w:vAlign w:val="bottom"/>
                  <w:hideMark/>
                </w:tcPr>
                <w:p w14:paraId="2410E3F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07" w:type="dxa"/>
                  <w:tcBorders>
                    <w:top w:val="nil"/>
                    <w:left w:val="nil"/>
                    <w:bottom w:val="single" w:sz="4" w:space="0" w:color="auto"/>
                    <w:right w:val="single" w:sz="4" w:space="0" w:color="auto"/>
                  </w:tcBorders>
                  <w:vAlign w:val="bottom"/>
                  <w:hideMark/>
                </w:tcPr>
                <w:p w14:paraId="370719A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06" w:type="dxa"/>
                  <w:tcBorders>
                    <w:top w:val="nil"/>
                    <w:left w:val="nil"/>
                    <w:bottom w:val="single" w:sz="4" w:space="0" w:color="auto"/>
                    <w:right w:val="single" w:sz="4" w:space="0" w:color="auto"/>
                  </w:tcBorders>
                  <w:vAlign w:val="bottom"/>
                  <w:hideMark/>
                </w:tcPr>
                <w:p w14:paraId="266F2296"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65%</w:t>
                  </w:r>
                </w:p>
              </w:tc>
            </w:tr>
            <w:tr w:rsidR="00B04764" w:rsidRPr="00BD2699" w14:paraId="3F83F4AF" w14:textId="77777777" w:rsidTr="00450A7E">
              <w:trPr>
                <w:trHeight w:val="318"/>
              </w:trPr>
              <w:tc>
                <w:tcPr>
                  <w:tcW w:w="416" w:type="dxa"/>
                  <w:tcBorders>
                    <w:top w:val="nil"/>
                    <w:left w:val="single" w:sz="4" w:space="0" w:color="auto"/>
                    <w:bottom w:val="single" w:sz="4" w:space="0" w:color="auto"/>
                    <w:right w:val="single" w:sz="4" w:space="0" w:color="auto"/>
                  </w:tcBorders>
                  <w:noWrap/>
                  <w:vAlign w:val="center"/>
                  <w:hideMark/>
                </w:tcPr>
                <w:p w14:paraId="49B4E7B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16" w:type="dxa"/>
                  <w:tcBorders>
                    <w:top w:val="nil"/>
                    <w:left w:val="nil"/>
                    <w:bottom w:val="single" w:sz="4" w:space="0" w:color="auto"/>
                    <w:right w:val="single" w:sz="4" w:space="0" w:color="auto"/>
                  </w:tcBorders>
                  <w:noWrap/>
                  <w:vAlign w:val="bottom"/>
                  <w:hideMark/>
                </w:tcPr>
                <w:p w14:paraId="3C2AAC5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395" w:type="dxa"/>
                  <w:tcBorders>
                    <w:top w:val="nil"/>
                    <w:left w:val="nil"/>
                    <w:bottom w:val="single" w:sz="4" w:space="0" w:color="auto"/>
                    <w:right w:val="single" w:sz="4" w:space="0" w:color="auto"/>
                  </w:tcBorders>
                  <w:noWrap/>
                  <w:vAlign w:val="bottom"/>
                  <w:hideMark/>
                </w:tcPr>
                <w:p w14:paraId="4C22D41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07" w:type="dxa"/>
                  <w:tcBorders>
                    <w:top w:val="nil"/>
                    <w:left w:val="nil"/>
                    <w:bottom w:val="single" w:sz="4" w:space="0" w:color="auto"/>
                    <w:right w:val="single" w:sz="4" w:space="0" w:color="auto"/>
                  </w:tcBorders>
                  <w:vAlign w:val="bottom"/>
                  <w:hideMark/>
                </w:tcPr>
                <w:p w14:paraId="6F3000B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06" w:type="dxa"/>
                  <w:tcBorders>
                    <w:top w:val="nil"/>
                    <w:left w:val="nil"/>
                    <w:bottom w:val="single" w:sz="4" w:space="0" w:color="auto"/>
                    <w:right w:val="single" w:sz="4" w:space="0" w:color="auto"/>
                  </w:tcBorders>
                  <w:vAlign w:val="bottom"/>
                  <w:hideMark/>
                </w:tcPr>
                <w:p w14:paraId="1F98AF25"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55%</w:t>
                  </w:r>
                </w:p>
              </w:tc>
            </w:tr>
            <w:tr w:rsidR="00B04764" w:rsidRPr="00BD2699" w14:paraId="62F4BFDC" w14:textId="77777777" w:rsidTr="00450A7E">
              <w:trPr>
                <w:trHeight w:val="318"/>
              </w:trPr>
              <w:tc>
                <w:tcPr>
                  <w:tcW w:w="416" w:type="dxa"/>
                  <w:tcBorders>
                    <w:top w:val="nil"/>
                    <w:left w:val="single" w:sz="4" w:space="0" w:color="auto"/>
                    <w:bottom w:val="single" w:sz="4" w:space="0" w:color="auto"/>
                    <w:right w:val="single" w:sz="4" w:space="0" w:color="auto"/>
                  </w:tcBorders>
                  <w:noWrap/>
                  <w:vAlign w:val="bottom"/>
                  <w:hideMark/>
                </w:tcPr>
                <w:p w14:paraId="444EBA0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16" w:type="dxa"/>
                  <w:tcBorders>
                    <w:top w:val="nil"/>
                    <w:left w:val="nil"/>
                    <w:bottom w:val="single" w:sz="4" w:space="0" w:color="auto"/>
                    <w:right w:val="single" w:sz="4" w:space="0" w:color="auto"/>
                  </w:tcBorders>
                  <w:noWrap/>
                  <w:vAlign w:val="bottom"/>
                  <w:hideMark/>
                </w:tcPr>
                <w:p w14:paraId="1B43CAA8"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395" w:type="dxa"/>
                  <w:tcBorders>
                    <w:top w:val="nil"/>
                    <w:left w:val="nil"/>
                    <w:bottom w:val="single" w:sz="4" w:space="0" w:color="auto"/>
                    <w:right w:val="single" w:sz="4" w:space="0" w:color="auto"/>
                  </w:tcBorders>
                  <w:noWrap/>
                  <w:vAlign w:val="bottom"/>
                  <w:hideMark/>
                </w:tcPr>
                <w:p w14:paraId="12C24B4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07" w:type="dxa"/>
                  <w:tcBorders>
                    <w:top w:val="nil"/>
                    <w:left w:val="nil"/>
                    <w:bottom w:val="single" w:sz="4" w:space="0" w:color="auto"/>
                    <w:right w:val="single" w:sz="4" w:space="0" w:color="auto"/>
                  </w:tcBorders>
                  <w:vAlign w:val="bottom"/>
                  <w:hideMark/>
                </w:tcPr>
                <w:p w14:paraId="42CE97C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06" w:type="dxa"/>
                  <w:tcBorders>
                    <w:top w:val="nil"/>
                    <w:left w:val="nil"/>
                    <w:bottom w:val="single" w:sz="4" w:space="0" w:color="auto"/>
                    <w:right w:val="single" w:sz="4" w:space="0" w:color="auto"/>
                  </w:tcBorders>
                  <w:vAlign w:val="bottom"/>
                  <w:hideMark/>
                </w:tcPr>
                <w:p w14:paraId="0AA12428"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150%</w:t>
                  </w:r>
                </w:p>
              </w:tc>
            </w:tr>
          </w:tbl>
          <w:p w14:paraId="62715700"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31239369"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3</w:t>
            </w:r>
          </w:p>
          <w:p w14:paraId="3CDAF903"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378FC813"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21FB4E88"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410071C7"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4919A5E0"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77FD6042"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4E62B4AB" w14:textId="70BA18A3"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участвующего в государственных закупках, стоимость которых составляет </w:t>
            </w:r>
            <w:bookmarkStart w:id="0" w:name="_GoBack"/>
            <w:bookmarkEnd w:id="0"/>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 xml:space="preserve">в пределах от </w:t>
            </w:r>
            <w:proofErr w:type="spellStart"/>
            <w:r w:rsidRPr="00BD2699">
              <w:rPr>
                <w:rFonts w:ascii="Times New Roman" w:eastAsia="Times New Roman" w:hAnsi="Times New Roman" w:cs="Times New Roman"/>
                <w:color w:val="000000" w:themeColor="text1"/>
                <w:sz w:val="24"/>
                <w:szCs w:val="24"/>
              </w:rPr>
              <w:t>четырехстатысячекратного</w:t>
            </w:r>
            <w:proofErr w:type="spellEnd"/>
            <w:r w:rsidRPr="00BD2699">
              <w:rPr>
                <w:rFonts w:ascii="Times New Roman" w:eastAsia="Times New Roman" w:hAnsi="Times New Roman" w:cs="Times New Roman"/>
                <w:color w:val="000000" w:themeColor="text1"/>
                <w:sz w:val="24"/>
                <w:szCs w:val="24"/>
              </w:rPr>
              <w:t xml:space="preserve"> до </w:t>
            </w:r>
            <w:proofErr w:type="spellStart"/>
            <w:r w:rsidRPr="00BD2699">
              <w:rPr>
                <w:rFonts w:ascii="Times New Roman" w:eastAsia="Times New Roman" w:hAnsi="Times New Roman" w:cs="Times New Roman"/>
                <w:color w:val="000000" w:themeColor="text1"/>
                <w:sz w:val="24"/>
                <w:szCs w:val="24"/>
              </w:rPr>
              <w:lastRenderedPageBreak/>
              <w:t>восьмистатысячекратного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установленного на соответствующий финансовый год</w:t>
            </w:r>
          </w:p>
          <w:p w14:paraId="3BB9E527"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889" w:type="dxa"/>
              <w:tblLayout w:type="fixed"/>
              <w:tblLook w:val="04A0" w:firstRow="1" w:lastRow="0" w:firstColumn="1" w:lastColumn="0" w:noHBand="0" w:noVBand="1"/>
            </w:tblPr>
            <w:tblGrid>
              <w:gridCol w:w="429"/>
              <w:gridCol w:w="1151"/>
              <w:gridCol w:w="1439"/>
              <w:gridCol w:w="935"/>
              <w:gridCol w:w="935"/>
            </w:tblGrid>
            <w:tr w:rsidR="00B04764" w:rsidRPr="00BD2699" w14:paraId="05EA840C" w14:textId="77777777" w:rsidTr="00450A7E">
              <w:trPr>
                <w:trHeight w:val="750"/>
              </w:trPr>
              <w:tc>
                <w:tcPr>
                  <w:tcW w:w="429" w:type="dxa"/>
                  <w:tcBorders>
                    <w:top w:val="single" w:sz="4" w:space="0" w:color="auto"/>
                    <w:left w:val="single" w:sz="4" w:space="0" w:color="auto"/>
                    <w:bottom w:val="single" w:sz="4" w:space="0" w:color="auto"/>
                    <w:right w:val="single" w:sz="4" w:space="0" w:color="auto"/>
                  </w:tcBorders>
                  <w:noWrap/>
                  <w:hideMark/>
                </w:tcPr>
                <w:p w14:paraId="6598EB9F"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51" w:type="dxa"/>
                  <w:tcBorders>
                    <w:top w:val="single" w:sz="4" w:space="0" w:color="auto"/>
                    <w:left w:val="nil"/>
                    <w:bottom w:val="single" w:sz="4" w:space="0" w:color="auto"/>
                    <w:right w:val="single" w:sz="4" w:space="0" w:color="auto"/>
                  </w:tcBorders>
                  <w:hideMark/>
                </w:tcPr>
                <w:p w14:paraId="36942687"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439" w:type="dxa"/>
                  <w:tcBorders>
                    <w:top w:val="single" w:sz="4" w:space="0" w:color="auto"/>
                    <w:left w:val="nil"/>
                    <w:bottom w:val="single" w:sz="4" w:space="0" w:color="auto"/>
                    <w:right w:val="single" w:sz="4" w:space="0" w:color="auto"/>
                  </w:tcBorders>
                  <w:hideMark/>
                </w:tcPr>
                <w:p w14:paraId="6C96D4DE"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35" w:type="dxa"/>
                  <w:tcBorders>
                    <w:top w:val="single" w:sz="4" w:space="0" w:color="auto"/>
                    <w:left w:val="nil"/>
                    <w:bottom w:val="single" w:sz="4" w:space="0" w:color="auto"/>
                    <w:right w:val="single" w:sz="4" w:space="0" w:color="auto"/>
                  </w:tcBorders>
                  <w:hideMark/>
                </w:tcPr>
                <w:p w14:paraId="717141F4"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35" w:type="dxa"/>
                  <w:tcBorders>
                    <w:top w:val="single" w:sz="4" w:space="0" w:color="auto"/>
                    <w:left w:val="nil"/>
                    <w:bottom w:val="single" w:sz="4" w:space="0" w:color="auto"/>
                    <w:right w:val="single" w:sz="4" w:space="0" w:color="auto"/>
                  </w:tcBorders>
                  <w:hideMark/>
                </w:tcPr>
                <w:p w14:paraId="20FC30D8"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1A503D27" w14:textId="77777777" w:rsidTr="00450A7E">
              <w:trPr>
                <w:trHeight w:val="290"/>
              </w:trPr>
              <w:tc>
                <w:tcPr>
                  <w:tcW w:w="429" w:type="dxa"/>
                  <w:tcBorders>
                    <w:top w:val="nil"/>
                    <w:left w:val="single" w:sz="4" w:space="0" w:color="auto"/>
                    <w:bottom w:val="single" w:sz="4" w:space="0" w:color="auto"/>
                    <w:right w:val="single" w:sz="4" w:space="0" w:color="auto"/>
                  </w:tcBorders>
                  <w:noWrap/>
                  <w:vAlign w:val="center"/>
                  <w:hideMark/>
                </w:tcPr>
                <w:p w14:paraId="10D86EF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51" w:type="dxa"/>
                  <w:tcBorders>
                    <w:top w:val="nil"/>
                    <w:left w:val="nil"/>
                    <w:bottom w:val="single" w:sz="4" w:space="0" w:color="auto"/>
                    <w:right w:val="single" w:sz="4" w:space="0" w:color="auto"/>
                  </w:tcBorders>
                  <w:noWrap/>
                  <w:vAlign w:val="bottom"/>
                  <w:hideMark/>
                </w:tcPr>
                <w:p w14:paraId="5A25D2D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439" w:type="dxa"/>
                  <w:tcBorders>
                    <w:top w:val="nil"/>
                    <w:left w:val="nil"/>
                    <w:bottom w:val="single" w:sz="4" w:space="0" w:color="auto"/>
                    <w:right w:val="single" w:sz="4" w:space="0" w:color="auto"/>
                  </w:tcBorders>
                  <w:noWrap/>
                  <w:vAlign w:val="bottom"/>
                  <w:hideMark/>
                </w:tcPr>
                <w:p w14:paraId="78159B0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35" w:type="dxa"/>
                  <w:tcBorders>
                    <w:top w:val="nil"/>
                    <w:left w:val="nil"/>
                    <w:bottom w:val="single" w:sz="4" w:space="0" w:color="auto"/>
                    <w:right w:val="single" w:sz="4" w:space="0" w:color="auto"/>
                  </w:tcBorders>
                  <w:vAlign w:val="bottom"/>
                  <w:hideMark/>
                </w:tcPr>
                <w:p w14:paraId="6FE8519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35" w:type="dxa"/>
                  <w:tcBorders>
                    <w:top w:val="nil"/>
                    <w:left w:val="nil"/>
                    <w:bottom w:val="single" w:sz="4" w:space="0" w:color="auto"/>
                    <w:right w:val="single" w:sz="4" w:space="0" w:color="auto"/>
                  </w:tcBorders>
                  <w:vAlign w:val="bottom"/>
                  <w:hideMark/>
                </w:tcPr>
                <w:p w14:paraId="3E8F4B80"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35%</w:t>
                  </w:r>
                </w:p>
              </w:tc>
            </w:tr>
            <w:tr w:rsidR="00B04764" w:rsidRPr="00BD2699" w14:paraId="78CD9ABB" w14:textId="77777777" w:rsidTr="00450A7E">
              <w:trPr>
                <w:trHeight w:val="290"/>
              </w:trPr>
              <w:tc>
                <w:tcPr>
                  <w:tcW w:w="429" w:type="dxa"/>
                  <w:tcBorders>
                    <w:top w:val="nil"/>
                    <w:left w:val="single" w:sz="4" w:space="0" w:color="auto"/>
                    <w:bottom w:val="single" w:sz="4" w:space="0" w:color="auto"/>
                    <w:right w:val="single" w:sz="4" w:space="0" w:color="auto"/>
                  </w:tcBorders>
                  <w:noWrap/>
                  <w:vAlign w:val="center"/>
                  <w:hideMark/>
                </w:tcPr>
                <w:p w14:paraId="1346B7D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51" w:type="dxa"/>
                  <w:tcBorders>
                    <w:top w:val="nil"/>
                    <w:left w:val="nil"/>
                    <w:bottom w:val="single" w:sz="4" w:space="0" w:color="auto"/>
                    <w:right w:val="single" w:sz="4" w:space="0" w:color="auto"/>
                  </w:tcBorders>
                  <w:noWrap/>
                  <w:vAlign w:val="bottom"/>
                  <w:hideMark/>
                </w:tcPr>
                <w:p w14:paraId="1B088A0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439" w:type="dxa"/>
                  <w:tcBorders>
                    <w:top w:val="nil"/>
                    <w:left w:val="nil"/>
                    <w:bottom w:val="single" w:sz="4" w:space="0" w:color="auto"/>
                    <w:right w:val="single" w:sz="4" w:space="0" w:color="auto"/>
                  </w:tcBorders>
                  <w:noWrap/>
                  <w:vAlign w:val="bottom"/>
                  <w:hideMark/>
                </w:tcPr>
                <w:p w14:paraId="31A4FCB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35" w:type="dxa"/>
                  <w:tcBorders>
                    <w:top w:val="nil"/>
                    <w:left w:val="nil"/>
                    <w:bottom w:val="single" w:sz="4" w:space="0" w:color="auto"/>
                    <w:right w:val="single" w:sz="4" w:space="0" w:color="auto"/>
                  </w:tcBorders>
                  <w:vAlign w:val="bottom"/>
                  <w:hideMark/>
                </w:tcPr>
                <w:p w14:paraId="2180238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35" w:type="dxa"/>
                  <w:tcBorders>
                    <w:top w:val="nil"/>
                    <w:left w:val="nil"/>
                    <w:bottom w:val="single" w:sz="4" w:space="0" w:color="auto"/>
                    <w:right w:val="single" w:sz="4" w:space="0" w:color="auto"/>
                  </w:tcBorders>
                  <w:vAlign w:val="bottom"/>
                  <w:hideMark/>
                </w:tcPr>
                <w:p w14:paraId="4BE05945"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65%</w:t>
                  </w:r>
                </w:p>
              </w:tc>
            </w:tr>
            <w:tr w:rsidR="00B04764" w:rsidRPr="00BD2699" w14:paraId="4D334346" w14:textId="77777777" w:rsidTr="00450A7E">
              <w:trPr>
                <w:trHeight w:val="290"/>
              </w:trPr>
              <w:tc>
                <w:tcPr>
                  <w:tcW w:w="429" w:type="dxa"/>
                  <w:tcBorders>
                    <w:top w:val="nil"/>
                    <w:left w:val="single" w:sz="4" w:space="0" w:color="auto"/>
                    <w:bottom w:val="single" w:sz="4" w:space="0" w:color="auto"/>
                    <w:right w:val="single" w:sz="4" w:space="0" w:color="auto"/>
                  </w:tcBorders>
                  <w:noWrap/>
                  <w:vAlign w:val="center"/>
                  <w:hideMark/>
                </w:tcPr>
                <w:p w14:paraId="02B6030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51" w:type="dxa"/>
                  <w:tcBorders>
                    <w:top w:val="nil"/>
                    <w:left w:val="nil"/>
                    <w:bottom w:val="single" w:sz="4" w:space="0" w:color="auto"/>
                    <w:right w:val="single" w:sz="4" w:space="0" w:color="auto"/>
                  </w:tcBorders>
                  <w:noWrap/>
                  <w:vAlign w:val="bottom"/>
                  <w:hideMark/>
                </w:tcPr>
                <w:p w14:paraId="1B9DF5A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439" w:type="dxa"/>
                  <w:tcBorders>
                    <w:top w:val="nil"/>
                    <w:left w:val="nil"/>
                    <w:bottom w:val="single" w:sz="4" w:space="0" w:color="auto"/>
                    <w:right w:val="single" w:sz="4" w:space="0" w:color="auto"/>
                  </w:tcBorders>
                  <w:noWrap/>
                  <w:vAlign w:val="bottom"/>
                  <w:hideMark/>
                </w:tcPr>
                <w:p w14:paraId="15E5318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35" w:type="dxa"/>
                  <w:tcBorders>
                    <w:top w:val="nil"/>
                    <w:left w:val="nil"/>
                    <w:bottom w:val="single" w:sz="4" w:space="0" w:color="auto"/>
                    <w:right w:val="single" w:sz="4" w:space="0" w:color="auto"/>
                  </w:tcBorders>
                  <w:vAlign w:val="bottom"/>
                  <w:hideMark/>
                </w:tcPr>
                <w:p w14:paraId="14A8F0B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35" w:type="dxa"/>
                  <w:tcBorders>
                    <w:top w:val="nil"/>
                    <w:left w:val="nil"/>
                    <w:bottom w:val="single" w:sz="4" w:space="0" w:color="auto"/>
                    <w:right w:val="single" w:sz="4" w:space="0" w:color="auto"/>
                  </w:tcBorders>
                  <w:vAlign w:val="bottom"/>
                  <w:hideMark/>
                </w:tcPr>
                <w:p w14:paraId="30266D13"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60%</w:t>
                  </w:r>
                </w:p>
              </w:tc>
            </w:tr>
            <w:tr w:rsidR="00B04764" w:rsidRPr="00BD2699" w14:paraId="50ECFC59" w14:textId="77777777" w:rsidTr="00450A7E">
              <w:trPr>
                <w:trHeight w:val="290"/>
              </w:trPr>
              <w:tc>
                <w:tcPr>
                  <w:tcW w:w="429" w:type="dxa"/>
                  <w:tcBorders>
                    <w:top w:val="nil"/>
                    <w:left w:val="single" w:sz="4" w:space="0" w:color="auto"/>
                    <w:bottom w:val="single" w:sz="4" w:space="0" w:color="auto"/>
                    <w:right w:val="single" w:sz="4" w:space="0" w:color="auto"/>
                  </w:tcBorders>
                  <w:noWrap/>
                  <w:vAlign w:val="bottom"/>
                  <w:hideMark/>
                </w:tcPr>
                <w:p w14:paraId="42A8B84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51" w:type="dxa"/>
                  <w:tcBorders>
                    <w:top w:val="nil"/>
                    <w:left w:val="nil"/>
                    <w:bottom w:val="single" w:sz="4" w:space="0" w:color="auto"/>
                    <w:right w:val="single" w:sz="4" w:space="0" w:color="auto"/>
                  </w:tcBorders>
                  <w:noWrap/>
                  <w:vAlign w:val="bottom"/>
                  <w:hideMark/>
                </w:tcPr>
                <w:p w14:paraId="5DB38D68"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439" w:type="dxa"/>
                  <w:tcBorders>
                    <w:top w:val="nil"/>
                    <w:left w:val="nil"/>
                    <w:bottom w:val="single" w:sz="4" w:space="0" w:color="auto"/>
                    <w:right w:val="single" w:sz="4" w:space="0" w:color="auto"/>
                  </w:tcBorders>
                  <w:noWrap/>
                  <w:vAlign w:val="bottom"/>
                  <w:hideMark/>
                </w:tcPr>
                <w:p w14:paraId="4C44BF6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35" w:type="dxa"/>
                  <w:tcBorders>
                    <w:top w:val="nil"/>
                    <w:left w:val="nil"/>
                    <w:bottom w:val="single" w:sz="4" w:space="0" w:color="auto"/>
                    <w:right w:val="single" w:sz="4" w:space="0" w:color="auto"/>
                  </w:tcBorders>
                  <w:vAlign w:val="bottom"/>
                  <w:hideMark/>
                </w:tcPr>
                <w:p w14:paraId="046F861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35" w:type="dxa"/>
                  <w:tcBorders>
                    <w:top w:val="nil"/>
                    <w:left w:val="nil"/>
                    <w:bottom w:val="single" w:sz="4" w:space="0" w:color="auto"/>
                    <w:right w:val="single" w:sz="4" w:space="0" w:color="auto"/>
                  </w:tcBorders>
                  <w:vAlign w:val="bottom"/>
                  <w:hideMark/>
                </w:tcPr>
                <w:p w14:paraId="4579137A"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160%</w:t>
                  </w:r>
                </w:p>
              </w:tc>
            </w:tr>
          </w:tbl>
          <w:p w14:paraId="2E99B1AF"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594247C3"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4</w:t>
            </w:r>
          </w:p>
          <w:p w14:paraId="5EC7DEBA"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34B86C13"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2216DAF6"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p>
          <w:p w14:paraId="61DAE2D6"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253D12EC"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330B9FC8"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5FFD9066" w14:textId="2CD35676"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участвующего в государственных</w:t>
            </w:r>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 xml:space="preserve"> закупках, стоимость которых составляет в пределах от </w:t>
            </w:r>
            <w:proofErr w:type="spellStart"/>
            <w:r w:rsidRPr="00BD2699">
              <w:rPr>
                <w:rFonts w:ascii="Times New Roman" w:eastAsia="Times New Roman" w:hAnsi="Times New Roman" w:cs="Times New Roman"/>
                <w:color w:val="000000" w:themeColor="text1"/>
                <w:sz w:val="24"/>
                <w:szCs w:val="24"/>
              </w:rPr>
              <w:t>восьмистатысячекратного</w:t>
            </w:r>
            <w:proofErr w:type="spellEnd"/>
            <w:r w:rsidRPr="00BD2699">
              <w:rPr>
                <w:rFonts w:ascii="Times New Roman" w:eastAsia="Times New Roman" w:hAnsi="Times New Roman" w:cs="Times New Roman"/>
                <w:color w:val="000000" w:themeColor="text1"/>
                <w:sz w:val="24"/>
                <w:szCs w:val="24"/>
              </w:rPr>
              <w:t xml:space="preserve"> до </w:t>
            </w:r>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 xml:space="preserve">одного миллиона </w:t>
            </w:r>
            <w:proofErr w:type="spellStart"/>
            <w:r w:rsidRPr="00BD2699">
              <w:rPr>
                <w:rFonts w:ascii="Times New Roman" w:eastAsia="Times New Roman" w:hAnsi="Times New Roman" w:cs="Times New Roman"/>
                <w:color w:val="000000" w:themeColor="text1"/>
                <w:sz w:val="24"/>
                <w:szCs w:val="24"/>
              </w:rPr>
              <w:t>шестистатысячекратного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w:t>
            </w:r>
            <w:r w:rsidRPr="00BD2699">
              <w:rPr>
                <w:rFonts w:ascii="Times New Roman" w:eastAsia="Times New Roman" w:hAnsi="Times New Roman" w:cs="Times New Roman"/>
                <w:color w:val="000000" w:themeColor="text1"/>
                <w:sz w:val="24"/>
                <w:szCs w:val="24"/>
              </w:rPr>
              <w:lastRenderedPageBreak/>
              <w:t>установленного на соответствующий финансовый год</w:t>
            </w:r>
          </w:p>
          <w:p w14:paraId="1D99839B"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770" w:type="dxa"/>
              <w:tblLayout w:type="fixed"/>
              <w:tblLook w:val="04A0" w:firstRow="1" w:lastRow="0" w:firstColumn="1" w:lastColumn="0" w:noHBand="0" w:noVBand="1"/>
            </w:tblPr>
            <w:tblGrid>
              <w:gridCol w:w="419"/>
              <w:gridCol w:w="1123"/>
              <w:gridCol w:w="1404"/>
              <w:gridCol w:w="912"/>
              <w:gridCol w:w="912"/>
            </w:tblGrid>
            <w:tr w:rsidR="00B04764" w:rsidRPr="00BD2699" w14:paraId="2135B30E" w14:textId="77777777" w:rsidTr="00450A7E">
              <w:trPr>
                <w:trHeight w:val="829"/>
              </w:trPr>
              <w:tc>
                <w:tcPr>
                  <w:tcW w:w="419" w:type="dxa"/>
                  <w:tcBorders>
                    <w:top w:val="single" w:sz="4" w:space="0" w:color="auto"/>
                    <w:left w:val="single" w:sz="4" w:space="0" w:color="auto"/>
                    <w:bottom w:val="single" w:sz="4" w:space="0" w:color="auto"/>
                    <w:right w:val="single" w:sz="4" w:space="0" w:color="auto"/>
                  </w:tcBorders>
                  <w:noWrap/>
                  <w:hideMark/>
                </w:tcPr>
                <w:p w14:paraId="255A900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23" w:type="dxa"/>
                  <w:tcBorders>
                    <w:top w:val="single" w:sz="4" w:space="0" w:color="auto"/>
                    <w:left w:val="nil"/>
                    <w:bottom w:val="single" w:sz="4" w:space="0" w:color="auto"/>
                    <w:right w:val="single" w:sz="4" w:space="0" w:color="auto"/>
                  </w:tcBorders>
                  <w:hideMark/>
                </w:tcPr>
                <w:p w14:paraId="1E54114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404" w:type="dxa"/>
                  <w:tcBorders>
                    <w:top w:val="single" w:sz="4" w:space="0" w:color="auto"/>
                    <w:left w:val="nil"/>
                    <w:bottom w:val="single" w:sz="4" w:space="0" w:color="auto"/>
                    <w:right w:val="single" w:sz="4" w:space="0" w:color="auto"/>
                  </w:tcBorders>
                  <w:hideMark/>
                </w:tcPr>
                <w:p w14:paraId="1A283F4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12" w:type="dxa"/>
                  <w:tcBorders>
                    <w:top w:val="single" w:sz="4" w:space="0" w:color="auto"/>
                    <w:left w:val="nil"/>
                    <w:bottom w:val="single" w:sz="4" w:space="0" w:color="auto"/>
                    <w:right w:val="single" w:sz="4" w:space="0" w:color="auto"/>
                  </w:tcBorders>
                  <w:hideMark/>
                </w:tcPr>
                <w:p w14:paraId="1510D9F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12" w:type="dxa"/>
                  <w:tcBorders>
                    <w:top w:val="single" w:sz="4" w:space="0" w:color="auto"/>
                    <w:left w:val="nil"/>
                    <w:bottom w:val="single" w:sz="4" w:space="0" w:color="auto"/>
                    <w:right w:val="single" w:sz="4" w:space="0" w:color="auto"/>
                  </w:tcBorders>
                  <w:hideMark/>
                </w:tcPr>
                <w:p w14:paraId="4285C72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48B384FE" w14:textId="77777777" w:rsidTr="00450A7E">
              <w:trPr>
                <w:trHeight w:val="320"/>
              </w:trPr>
              <w:tc>
                <w:tcPr>
                  <w:tcW w:w="419" w:type="dxa"/>
                  <w:tcBorders>
                    <w:top w:val="nil"/>
                    <w:left w:val="single" w:sz="4" w:space="0" w:color="auto"/>
                    <w:bottom w:val="single" w:sz="4" w:space="0" w:color="auto"/>
                    <w:right w:val="single" w:sz="4" w:space="0" w:color="auto"/>
                  </w:tcBorders>
                  <w:noWrap/>
                  <w:vAlign w:val="center"/>
                  <w:hideMark/>
                </w:tcPr>
                <w:p w14:paraId="2422E70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23" w:type="dxa"/>
                  <w:tcBorders>
                    <w:top w:val="nil"/>
                    <w:left w:val="nil"/>
                    <w:bottom w:val="single" w:sz="4" w:space="0" w:color="auto"/>
                    <w:right w:val="single" w:sz="4" w:space="0" w:color="auto"/>
                  </w:tcBorders>
                  <w:noWrap/>
                  <w:vAlign w:val="bottom"/>
                  <w:hideMark/>
                </w:tcPr>
                <w:p w14:paraId="6A066B5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404" w:type="dxa"/>
                  <w:tcBorders>
                    <w:top w:val="nil"/>
                    <w:left w:val="nil"/>
                    <w:bottom w:val="single" w:sz="4" w:space="0" w:color="auto"/>
                    <w:right w:val="single" w:sz="4" w:space="0" w:color="auto"/>
                  </w:tcBorders>
                  <w:noWrap/>
                  <w:vAlign w:val="bottom"/>
                  <w:hideMark/>
                </w:tcPr>
                <w:p w14:paraId="1351848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12" w:type="dxa"/>
                  <w:tcBorders>
                    <w:top w:val="nil"/>
                    <w:left w:val="nil"/>
                    <w:bottom w:val="single" w:sz="4" w:space="0" w:color="auto"/>
                    <w:right w:val="single" w:sz="4" w:space="0" w:color="auto"/>
                  </w:tcBorders>
                  <w:vAlign w:val="bottom"/>
                  <w:hideMark/>
                </w:tcPr>
                <w:p w14:paraId="3955522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12" w:type="dxa"/>
                  <w:tcBorders>
                    <w:top w:val="nil"/>
                    <w:left w:val="nil"/>
                    <w:bottom w:val="single" w:sz="4" w:space="0" w:color="auto"/>
                    <w:right w:val="single" w:sz="4" w:space="0" w:color="auto"/>
                  </w:tcBorders>
                  <w:vAlign w:val="bottom"/>
                  <w:hideMark/>
                </w:tcPr>
                <w:p w14:paraId="193CB334"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40%</w:t>
                  </w:r>
                </w:p>
              </w:tc>
            </w:tr>
            <w:tr w:rsidR="00B04764" w:rsidRPr="00BD2699" w14:paraId="6C25ADA7" w14:textId="77777777" w:rsidTr="00450A7E">
              <w:trPr>
                <w:trHeight w:val="320"/>
              </w:trPr>
              <w:tc>
                <w:tcPr>
                  <w:tcW w:w="419" w:type="dxa"/>
                  <w:tcBorders>
                    <w:top w:val="nil"/>
                    <w:left w:val="single" w:sz="4" w:space="0" w:color="auto"/>
                    <w:bottom w:val="single" w:sz="4" w:space="0" w:color="auto"/>
                    <w:right w:val="single" w:sz="4" w:space="0" w:color="auto"/>
                  </w:tcBorders>
                  <w:noWrap/>
                  <w:vAlign w:val="center"/>
                  <w:hideMark/>
                </w:tcPr>
                <w:p w14:paraId="2A01D97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23" w:type="dxa"/>
                  <w:tcBorders>
                    <w:top w:val="nil"/>
                    <w:left w:val="nil"/>
                    <w:bottom w:val="single" w:sz="4" w:space="0" w:color="auto"/>
                    <w:right w:val="single" w:sz="4" w:space="0" w:color="auto"/>
                  </w:tcBorders>
                  <w:noWrap/>
                  <w:vAlign w:val="bottom"/>
                  <w:hideMark/>
                </w:tcPr>
                <w:p w14:paraId="2400983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404" w:type="dxa"/>
                  <w:tcBorders>
                    <w:top w:val="nil"/>
                    <w:left w:val="nil"/>
                    <w:bottom w:val="single" w:sz="4" w:space="0" w:color="auto"/>
                    <w:right w:val="single" w:sz="4" w:space="0" w:color="auto"/>
                  </w:tcBorders>
                  <w:noWrap/>
                  <w:vAlign w:val="bottom"/>
                  <w:hideMark/>
                </w:tcPr>
                <w:p w14:paraId="45DCB56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12" w:type="dxa"/>
                  <w:tcBorders>
                    <w:top w:val="nil"/>
                    <w:left w:val="nil"/>
                    <w:bottom w:val="single" w:sz="4" w:space="0" w:color="auto"/>
                    <w:right w:val="single" w:sz="4" w:space="0" w:color="auto"/>
                  </w:tcBorders>
                  <w:vAlign w:val="bottom"/>
                  <w:hideMark/>
                </w:tcPr>
                <w:p w14:paraId="3F28CD9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12" w:type="dxa"/>
                  <w:tcBorders>
                    <w:top w:val="nil"/>
                    <w:left w:val="nil"/>
                    <w:bottom w:val="single" w:sz="4" w:space="0" w:color="auto"/>
                    <w:right w:val="single" w:sz="4" w:space="0" w:color="auto"/>
                  </w:tcBorders>
                  <w:vAlign w:val="bottom"/>
                  <w:hideMark/>
                </w:tcPr>
                <w:p w14:paraId="1B642680"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65%</w:t>
                  </w:r>
                </w:p>
              </w:tc>
            </w:tr>
            <w:tr w:rsidR="00B04764" w:rsidRPr="00BD2699" w14:paraId="21C83A72" w14:textId="77777777" w:rsidTr="00450A7E">
              <w:trPr>
                <w:trHeight w:val="320"/>
              </w:trPr>
              <w:tc>
                <w:tcPr>
                  <w:tcW w:w="419" w:type="dxa"/>
                  <w:tcBorders>
                    <w:top w:val="nil"/>
                    <w:left w:val="single" w:sz="4" w:space="0" w:color="auto"/>
                    <w:bottom w:val="single" w:sz="4" w:space="0" w:color="auto"/>
                    <w:right w:val="single" w:sz="4" w:space="0" w:color="auto"/>
                  </w:tcBorders>
                  <w:noWrap/>
                  <w:vAlign w:val="center"/>
                  <w:hideMark/>
                </w:tcPr>
                <w:p w14:paraId="7C83BF7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23" w:type="dxa"/>
                  <w:tcBorders>
                    <w:top w:val="nil"/>
                    <w:left w:val="nil"/>
                    <w:bottom w:val="single" w:sz="4" w:space="0" w:color="auto"/>
                    <w:right w:val="single" w:sz="4" w:space="0" w:color="auto"/>
                  </w:tcBorders>
                  <w:noWrap/>
                  <w:vAlign w:val="bottom"/>
                  <w:hideMark/>
                </w:tcPr>
                <w:p w14:paraId="655677A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404" w:type="dxa"/>
                  <w:tcBorders>
                    <w:top w:val="nil"/>
                    <w:left w:val="nil"/>
                    <w:bottom w:val="single" w:sz="4" w:space="0" w:color="auto"/>
                    <w:right w:val="single" w:sz="4" w:space="0" w:color="auto"/>
                  </w:tcBorders>
                  <w:noWrap/>
                  <w:vAlign w:val="bottom"/>
                  <w:hideMark/>
                </w:tcPr>
                <w:p w14:paraId="4138252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12" w:type="dxa"/>
                  <w:tcBorders>
                    <w:top w:val="nil"/>
                    <w:left w:val="nil"/>
                    <w:bottom w:val="single" w:sz="4" w:space="0" w:color="auto"/>
                    <w:right w:val="single" w:sz="4" w:space="0" w:color="auto"/>
                  </w:tcBorders>
                  <w:vAlign w:val="bottom"/>
                  <w:hideMark/>
                </w:tcPr>
                <w:p w14:paraId="21F5C520"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12" w:type="dxa"/>
                  <w:tcBorders>
                    <w:top w:val="nil"/>
                    <w:left w:val="nil"/>
                    <w:bottom w:val="single" w:sz="4" w:space="0" w:color="auto"/>
                    <w:right w:val="single" w:sz="4" w:space="0" w:color="auto"/>
                  </w:tcBorders>
                  <w:vAlign w:val="bottom"/>
                  <w:hideMark/>
                </w:tcPr>
                <w:p w14:paraId="6C981771"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65%</w:t>
                  </w:r>
                </w:p>
              </w:tc>
            </w:tr>
            <w:tr w:rsidR="00B04764" w:rsidRPr="00BD2699" w14:paraId="25D3F6D5" w14:textId="77777777" w:rsidTr="00450A7E">
              <w:trPr>
                <w:trHeight w:val="320"/>
              </w:trPr>
              <w:tc>
                <w:tcPr>
                  <w:tcW w:w="419" w:type="dxa"/>
                  <w:tcBorders>
                    <w:top w:val="nil"/>
                    <w:left w:val="single" w:sz="4" w:space="0" w:color="auto"/>
                    <w:bottom w:val="single" w:sz="4" w:space="0" w:color="auto"/>
                    <w:right w:val="single" w:sz="4" w:space="0" w:color="auto"/>
                  </w:tcBorders>
                  <w:noWrap/>
                  <w:vAlign w:val="bottom"/>
                  <w:hideMark/>
                </w:tcPr>
                <w:p w14:paraId="1976EC9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23" w:type="dxa"/>
                  <w:tcBorders>
                    <w:top w:val="nil"/>
                    <w:left w:val="nil"/>
                    <w:bottom w:val="single" w:sz="4" w:space="0" w:color="auto"/>
                    <w:right w:val="single" w:sz="4" w:space="0" w:color="auto"/>
                  </w:tcBorders>
                  <w:noWrap/>
                  <w:vAlign w:val="bottom"/>
                  <w:hideMark/>
                </w:tcPr>
                <w:p w14:paraId="025E8FFC"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404" w:type="dxa"/>
                  <w:tcBorders>
                    <w:top w:val="nil"/>
                    <w:left w:val="nil"/>
                    <w:bottom w:val="single" w:sz="4" w:space="0" w:color="auto"/>
                    <w:right w:val="single" w:sz="4" w:space="0" w:color="auto"/>
                  </w:tcBorders>
                  <w:noWrap/>
                  <w:vAlign w:val="bottom"/>
                  <w:hideMark/>
                </w:tcPr>
                <w:p w14:paraId="00C65C1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12" w:type="dxa"/>
                  <w:tcBorders>
                    <w:top w:val="nil"/>
                    <w:left w:val="nil"/>
                    <w:bottom w:val="single" w:sz="4" w:space="0" w:color="auto"/>
                    <w:right w:val="single" w:sz="4" w:space="0" w:color="auto"/>
                  </w:tcBorders>
                  <w:vAlign w:val="bottom"/>
                  <w:hideMark/>
                </w:tcPr>
                <w:p w14:paraId="54C791E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12" w:type="dxa"/>
                  <w:tcBorders>
                    <w:top w:val="nil"/>
                    <w:left w:val="nil"/>
                    <w:bottom w:val="single" w:sz="4" w:space="0" w:color="auto"/>
                    <w:right w:val="single" w:sz="4" w:space="0" w:color="auto"/>
                  </w:tcBorders>
                  <w:vAlign w:val="bottom"/>
                  <w:hideMark/>
                </w:tcPr>
                <w:p w14:paraId="073560EC"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170%</w:t>
                  </w:r>
                </w:p>
              </w:tc>
            </w:tr>
          </w:tbl>
          <w:p w14:paraId="4FB10C97"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563CD412"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5</w:t>
            </w:r>
          </w:p>
          <w:p w14:paraId="76A0A0DC"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0B480E76"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665F8621"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79A981D7"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76E71DD9"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 потенциального поставщика</w:t>
            </w:r>
          </w:p>
          <w:p w14:paraId="1B70FAB5" w14:textId="47FBC4F5"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участвующего в государственных</w:t>
            </w:r>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 xml:space="preserve"> закупках, стоимость которых составляет в пределах от одного миллиона </w:t>
            </w:r>
            <w:proofErr w:type="spellStart"/>
            <w:r w:rsidRPr="00BD2699">
              <w:rPr>
                <w:rFonts w:ascii="Times New Roman" w:eastAsia="Times New Roman" w:hAnsi="Times New Roman" w:cs="Times New Roman"/>
                <w:color w:val="000000" w:themeColor="text1"/>
                <w:sz w:val="24"/>
                <w:szCs w:val="24"/>
              </w:rPr>
              <w:t>шестистатысячекратного</w:t>
            </w:r>
            <w:proofErr w:type="spellEnd"/>
            <w:r w:rsidRPr="00BD2699">
              <w:rPr>
                <w:rFonts w:ascii="Times New Roman" w:eastAsia="Times New Roman" w:hAnsi="Times New Roman" w:cs="Times New Roman"/>
                <w:color w:val="000000" w:themeColor="text1"/>
                <w:sz w:val="24"/>
                <w:szCs w:val="24"/>
              </w:rPr>
              <w:t xml:space="preserve"> до трех миллионов </w:t>
            </w:r>
            <w:proofErr w:type="spellStart"/>
            <w:r w:rsidRPr="00BD2699">
              <w:rPr>
                <w:rFonts w:ascii="Times New Roman" w:eastAsia="Times New Roman" w:hAnsi="Times New Roman" w:cs="Times New Roman"/>
                <w:color w:val="000000" w:themeColor="text1"/>
                <w:sz w:val="24"/>
                <w:szCs w:val="24"/>
              </w:rPr>
              <w:t>двухстатысячакратного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w:t>
            </w:r>
            <w:r w:rsidRPr="00BD2699">
              <w:rPr>
                <w:rFonts w:ascii="Times New Roman" w:eastAsia="Times New Roman" w:hAnsi="Times New Roman" w:cs="Times New Roman"/>
                <w:color w:val="000000" w:themeColor="text1"/>
                <w:sz w:val="24"/>
                <w:szCs w:val="24"/>
              </w:rPr>
              <w:lastRenderedPageBreak/>
              <w:t>расчетного показателя, установленного на соответствующий финансовый год</w:t>
            </w:r>
          </w:p>
          <w:p w14:paraId="584EA262"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859" w:type="dxa"/>
              <w:tblLayout w:type="fixed"/>
              <w:tblLook w:val="04A0" w:firstRow="1" w:lastRow="0" w:firstColumn="1" w:lastColumn="0" w:noHBand="0" w:noVBand="1"/>
            </w:tblPr>
            <w:tblGrid>
              <w:gridCol w:w="426"/>
              <w:gridCol w:w="1144"/>
              <w:gridCol w:w="1430"/>
              <w:gridCol w:w="930"/>
              <w:gridCol w:w="929"/>
            </w:tblGrid>
            <w:tr w:rsidR="00B04764" w:rsidRPr="00BD2699" w14:paraId="48567502" w14:textId="77777777" w:rsidTr="00450A7E">
              <w:trPr>
                <w:trHeight w:val="791"/>
              </w:trPr>
              <w:tc>
                <w:tcPr>
                  <w:tcW w:w="426" w:type="dxa"/>
                  <w:tcBorders>
                    <w:top w:val="single" w:sz="4" w:space="0" w:color="auto"/>
                    <w:left w:val="single" w:sz="4" w:space="0" w:color="auto"/>
                    <w:bottom w:val="single" w:sz="4" w:space="0" w:color="auto"/>
                    <w:right w:val="single" w:sz="4" w:space="0" w:color="auto"/>
                  </w:tcBorders>
                  <w:noWrap/>
                  <w:hideMark/>
                </w:tcPr>
                <w:p w14:paraId="5BB85F0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144" w:type="dxa"/>
                  <w:tcBorders>
                    <w:top w:val="single" w:sz="4" w:space="0" w:color="auto"/>
                    <w:left w:val="nil"/>
                    <w:bottom w:val="single" w:sz="4" w:space="0" w:color="auto"/>
                    <w:right w:val="single" w:sz="4" w:space="0" w:color="auto"/>
                  </w:tcBorders>
                  <w:hideMark/>
                </w:tcPr>
                <w:p w14:paraId="4B221F5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430" w:type="dxa"/>
                  <w:tcBorders>
                    <w:top w:val="single" w:sz="4" w:space="0" w:color="auto"/>
                    <w:left w:val="nil"/>
                    <w:bottom w:val="single" w:sz="4" w:space="0" w:color="auto"/>
                    <w:right w:val="single" w:sz="4" w:space="0" w:color="auto"/>
                  </w:tcBorders>
                  <w:hideMark/>
                </w:tcPr>
                <w:p w14:paraId="7719A60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930" w:type="dxa"/>
                  <w:tcBorders>
                    <w:top w:val="single" w:sz="4" w:space="0" w:color="auto"/>
                    <w:left w:val="nil"/>
                    <w:bottom w:val="single" w:sz="4" w:space="0" w:color="auto"/>
                    <w:right w:val="single" w:sz="4" w:space="0" w:color="auto"/>
                  </w:tcBorders>
                  <w:hideMark/>
                </w:tcPr>
                <w:p w14:paraId="2E03F8D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929" w:type="dxa"/>
                  <w:tcBorders>
                    <w:top w:val="single" w:sz="4" w:space="0" w:color="auto"/>
                    <w:left w:val="nil"/>
                    <w:bottom w:val="single" w:sz="4" w:space="0" w:color="auto"/>
                    <w:right w:val="single" w:sz="4" w:space="0" w:color="auto"/>
                  </w:tcBorders>
                  <w:hideMark/>
                </w:tcPr>
                <w:p w14:paraId="696E524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78DCB4F5" w14:textId="77777777" w:rsidTr="00450A7E">
              <w:trPr>
                <w:trHeight w:val="306"/>
              </w:trPr>
              <w:tc>
                <w:tcPr>
                  <w:tcW w:w="426" w:type="dxa"/>
                  <w:tcBorders>
                    <w:top w:val="nil"/>
                    <w:left w:val="single" w:sz="4" w:space="0" w:color="auto"/>
                    <w:bottom w:val="single" w:sz="4" w:space="0" w:color="auto"/>
                    <w:right w:val="single" w:sz="4" w:space="0" w:color="auto"/>
                  </w:tcBorders>
                  <w:noWrap/>
                  <w:vAlign w:val="center"/>
                  <w:hideMark/>
                </w:tcPr>
                <w:p w14:paraId="37D3AF0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144" w:type="dxa"/>
                  <w:tcBorders>
                    <w:top w:val="nil"/>
                    <w:left w:val="nil"/>
                    <w:bottom w:val="single" w:sz="4" w:space="0" w:color="auto"/>
                    <w:right w:val="single" w:sz="4" w:space="0" w:color="auto"/>
                  </w:tcBorders>
                  <w:noWrap/>
                  <w:vAlign w:val="bottom"/>
                  <w:hideMark/>
                </w:tcPr>
                <w:p w14:paraId="4EEFAA6A"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430" w:type="dxa"/>
                  <w:tcBorders>
                    <w:top w:val="nil"/>
                    <w:left w:val="nil"/>
                    <w:bottom w:val="single" w:sz="4" w:space="0" w:color="auto"/>
                    <w:right w:val="single" w:sz="4" w:space="0" w:color="auto"/>
                  </w:tcBorders>
                  <w:noWrap/>
                  <w:vAlign w:val="bottom"/>
                  <w:hideMark/>
                </w:tcPr>
                <w:p w14:paraId="5B6987C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930" w:type="dxa"/>
                  <w:tcBorders>
                    <w:top w:val="nil"/>
                    <w:left w:val="nil"/>
                    <w:bottom w:val="single" w:sz="4" w:space="0" w:color="auto"/>
                    <w:right w:val="single" w:sz="4" w:space="0" w:color="auto"/>
                  </w:tcBorders>
                  <w:vAlign w:val="bottom"/>
                  <w:hideMark/>
                </w:tcPr>
                <w:p w14:paraId="7A8B1DB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929" w:type="dxa"/>
                  <w:tcBorders>
                    <w:top w:val="nil"/>
                    <w:left w:val="nil"/>
                    <w:bottom w:val="single" w:sz="4" w:space="0" w:color="auto"/>
                    <w:right w:val="single" w:sz="4" w:space="0" w:color="auto"/>
                  </w:tcBorders>
                  <w:vAlign w:val="bottom"/>
                  <w:hideMark/>
                </w:tcPr>
                <w:p w14:paraId="45FF93FA"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45%</w:t>
                  </w:r>
                </w:p>
              </w:tc>
            </w:tr>
            <w:tr w:rsidR="00B04764" w:rsidRPr="00BD2699" w14:paraId="257B7CE2" w14:textId="77777777" w:rsidTr="00450A7E">
              <w:trPr>
                <w:trHeight w:val="306"/>
              </w:trPr>
              <w:tc>
                <w:tcPr>
                  <w:tcW w:w="426" w:type="dxa"/>
                  <w:tcBorders>
                    <w:top w:val="nil"/>
                    <w:left w:val="single" w:sz="4" w:space="0" w:color="auto"/>
                    <w:bottom w:val="single" w:sz="4" w:space="0" w:color="auto"/>
                    <w:right w:val="single" w:sz="4" w:space="0" w:color="auto"/>
                  </w:tcBorders>
                  <w:noWrap/>
                  <w:vAlign w:val="center"/>
                  <w:hideMark/>
                </w:tcPr>
                <w:p w14:paraId="461724B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144" w:type="dxa"/>
                  <w:tcBorders>
                    <w:top w:val="nil"/>
                    <w:left w:val="nil"/>
                    <w:bottom w:val="single" w:sz="4" w:space="0" w:color="auto"/>
                    <w:right w:val="single" w:sz="4" w:space="0" w:color="auto"/>
                  </w:tcBorders>
                  <w:noWrap/>
                  <w:vAlign w:val="bottom"/>
                  <w:hideMark/>
                </w:tcPr>
                <w:p w14:paraId="00E8A1A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430" w:type="dxa"/>
                  <w:tcBorders>
                    <w:top w:val="nil"/>
                    <w:left w:val="nil"/>
                    <w:bottom w:val="single" w:sz="4" w:space="0" w:color="auto"/>
                    <w:right w:val="single" w:sz="4" w:space="0" w:color="auto"/>
                  </w:tcBorders>
                  <w:noWrap/>
                  <w:vAlign w:val="bottom"/>
                  <w:hideMark/>
                </w:tcPr>
                <w:p w14:paraId="778E525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930" w:type="dxa"/>
                  <w:tcBorders>
                    <w:top w:val="nil"/>
                    <w:left w:val="nil"/>
                    <w:bottom w:val="single" w:sz="4" w:space="0" w:color="auto"/>
                    <w:right w:val="single" w:sz="4" w:space="0" w:color="auto"/>
                  </w:tcBorders>
                  <w:vAlign w:val="bottom"/>
                  <w:hideMark/>
                </w:tcPr>
                <w:p w14:paraId="29F9C92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929" w:type="dxa"/>
                  <w:tcBorders>
                    <w:top w:val="nil"/>
                    <w:left w:val="nil"/>
                    <w:bottom w:val="single" w:sz="4" w:space="0" w:color="auto"/>
                    <w:right w:val="single" w:sz="4" w:space="0" w:color="auto"/>
                  </w:tcBorders>
                  <w:vAlign w:val="bottom"/>
                  <w:hideMark/>
                </w:tcPr>
                <w:p w14:paraId="6EA75BD9"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65%</w:t>
                  </w:r>
                </w:p>
              </w:tc>
            </w:tr>
            <w:tr w:rsidR="00B04764" w:rsidRPr="00BD2699" w14:paraId="52996336" w14:textId="77777777" w:rsidTr="00450A7E">
              <w:trPr>
                <w:trHeight w:val="306"/>
              </w:trPr>
              <w:tc>
                <w:tcPr>
                  <w:tcW w:w="426" w:type="dxa"/>
                  <w:tcBorders>
                    <w:top w:val="nil"/>
                    <w:left w:val="single" w:sz="4" w:space="0" w:color="auto"/>
                    <w:bottom w:val="single" w:sz="4" w:space="0" w:color="auto"/>
                    <w:right w:val="single" w:sz="4" w:space="0" w:color="auto"/>
                  </w:tcBorders>
                  <w:noWrap/>
                  <w:vAlign w:val="center"/>
                  <w:hideMark/>
                </w:tcPr>
                <w:p w14:paraId="0D72B70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144" w:type="dxa"/>
                  <w:tcBorders>
                    <w:top w:val="nil"/>
                    <w:left w:val="nil"/>
                    <w:bottom w:val="single" w:sz="4" w:space="0" w:color="auto"/>
                    <w:right w:val="single" w:sz="4" w:space="0" w:color="auto"/>
                  </w:tcBorders>
                  <w:noWrap/>
                  <w:vAlign w:val="bottom"/>
                  <w:hideMark/>
                </w:tcPr>
                <w:p w14:paraId="04E55C7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430" w:type="dxa"/>
                  <w:tcBorders>
                    <w:top w:val="nil"/>
                    <w:left w:val="nil"/>
                    <w:bottom w:val="single" w:sz="4" w:space="0" w:color="auto"/>
                    <w:right w:val="single" w:sz="4" w:space="0" w:color="auto"/>
                  </w:tcBorders>
                  <w:noWrap/>
                  <w:vAlign w:val="bottom"/>
                  <w:hideMark/>
                </w:tcPr>
                <w:p w14:paraId="6E192CE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930" w:type="dxa"/>
                  <w:tcBorders>
                    <w:top w:val="nil"/>
                    <w:left w:val="nil"/>
                    <w:bottom w:val="single" w:sz="4" w:space="0" w:color="auto"/>
                    <w:right w:val="single" w:sz="4" w:space="0" w:color="auto"/>
                  </w:tcBorders>
                  <w:vAlign w:val="bottom"/>
                  <w:hideMark/>
                </w:tcPr>
                <w:p w14:paraId="56DC746E"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929" w:type="dxa"/>
                  <w:tcBorders>
                    <w:top w:val="nil"/>
                    <w:left w:val="nil"/>
                    <w:bottom w:val="single" w:sz="4" w:space="0" w:color="auto"/>
                    <w:right w:val="single" w:sz="4" w:space="0" w:color="auto"/>
                  </w:tcBorders>
                  <w:vAlign w:val="bottom"/>
                  <w:hideMark/>
                </w:tcPr>
                <w:p w14:paraId="626B89FC"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70%</w:t>
                  </w:r>
                </w:p>
              </w:tc>
            </w:tr>
            <w:tr w:rsidR="00B04764" w:rsidRPr="00BD2699" w14:paraId="2B83CDE9" w14:textId="77777777" w:rsidTr="00450A7E">
              <w:trPr>
                <w:trHeight w:val="306"/>
              </w:trPr>
              <w:tc>
                <w:tcPr>
                  <w:tcW w:w="426" w:type="dxa"/>
                  <w:tcBorders>
                    <w:top w:val="nil"/>
                    <w:left w:val="single" w:sz="4" w:space="0" w:color="auto"/>
                    <w:bottom w:val="single" w:sz="4" w:space="0" w:color="auto"/>
                    <w:right w:val="single" w:sz="4" w:space="0" w:color="auto"/>
                  </w:tcBorders>
                  <w:noWrap/>
                  <w:vAlign w:val="bottom"/>
                  <w:hideMark/>
                </w:tcPr>
                <w:p w14:paraId="617FE03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144" w:type="dxa"/>
                  <w:tcBorders>
                    <w:top w:val="nil"/>
                    <w:left w:val="nil"/>
                    <w:bottom w:val="single" w:sz="4" w:space="0" w:color="auto"/>
                    <w:right w:val="single" w:sz="4" w:space="0" w:color="auto"/>
                  </w:tcBorders>
                  <w:noWrap/>
                  <w:vAlign w:val="bottom"/>
                  <w:hideMark/>
                </w:tcPr>
                <w:p w14:paraId="01C97068"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430" w:type="dxa"/>
                  <w:tcBorders>
                    <w:top w:val="nil"/>
                    <w:left w:val="nil"/>
                    <w:bottom w:val="single" w:sz="4" w:space="0" w:color="auto"/>
                    <w:right w:val="single" w:sz="4" w:space="0" w:color="auto"/>
                  </w:tcBorders>
                  <w:noWrap/>
                  <w:vAlign w:val="bottom"/>
                  <w:hideMark/>
                </w:tcPr>
                <w:p w14:paraId="27E9F1C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930" w:type="dxa"/>
                  <w:tcBorders>
                    <w:top w:val="nil"/>
                    <w:left w:val="nil"/>
                    <w:bottom w:val="single" w:sz="4" w:space="0" w:color="auto"/>
                    <w:right w:val="single" w:sz="4" w:space="0" w:color="auto"/>
                  </w:tcBorders>
                  <w:vAlign w:val="bottom"/>
                  <w:hideMark/>
                </w:tcPr>
                <w:p w14:paraId="54ECB795" w14:textId="77777777" w:rsidR="00B04764" w:rsidRPr="00BD2699" w:rsidRDefault="00B04764" w:rsidP="00B04764">
                  <w:pPr>
                    <w:spacing w:after="0" w:line="240" w:lineRule="auto"/>
                    <w:ind w:firstLine="446"/>
                    <w:rPr>
                      <w:rFonts w:ascii="Times New Roman" w:eastAsia="Times New Roman" w:hAnsi="Times New Roman" w:cs="Times New Roman"/>
                      <w:color w:val="000000" w:themeColor="text1"/>
                      <w:sz w:val="24"/>
                      <w:szCs w:val="24"/>
                    </w:rPr>
                  </w:pPr>
                </w:p>
              </w:tc>
              <w:tc>
                <w:tcPr>
                  <w:tcW w:w="929" w:type="dxa"/>
                  <w:tcBorders>
                    <w:top w:val="nil"/>
                    <w:left w:val="nil"/>
                    <w:bottom w:val="single" w:sz="4" w:space="0" w:color="auto"/>
                    <w:right w:val="single" w:sz="4" w:space="0" w:color="auto"/>
                  </w:tcBorders>
                  <w:vAlign w:val="bottom"/>
                  <w:hideMark/>
                </w:tcPr>
                <w:p w14:paraId="184BB5A2"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180%</w:t>
                  </w:r>
                </w:p>
              </w:tc>
            </w:tr>
          </w:tbl>
          <w:p w14:paraId="7A7F371D"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7D723AB5"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Приложение 6</w:t>
            </w:r>
          </w:p>
          <w:p w14:paraId="2243369B"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к формуле расчета показателя</w:t>
            </w:r>
          </w:p>
          <w:p w14:paraId="07928DBC" w14:textId="77777777" w:rsidR="00B04764" w:rsidRPr="00BD2699" w:rsidRDefault="00B04764" w:rsidP="00B04764">
            <w:pPr>
              <w:ind w:firstLine="446"/>
              <w:jc w:val="right"/>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финансовой устойчивости</w:t>
            </w:r>
          </w:p>
          <w:p w14:paraId="1C542C55"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p w14:paraId="643573D8"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Расчет</w:t>
            </w:r>
          </w:p>
          <w:p w14:paraId="71AA23CC"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показателя финансовой устойчивости</w:t>
            </w:r>
          </w:p>
          <w:p w14:paraId="272C2C64" w14:textId="4193E606"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потенциального поставщика, </w:t>
            </w:r>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участвующего в государственных закупках, стоимость которых превышает трех</w:t>
            </w:r>
            <w:r w:rsidR="00896EE3">
              <w:rPr>
                <w:rFonts w:ascii="Times New Roman" w:eastAsia="Times New Roman" w:hAnsi="Times New Roman" w:cs="Times New Roman"/>
                <w:color w:val="000000" w:themeColor="text1"/>
                <w:sz w:val="24"/>
                <w:szCs w:val="24"/>
              </w:rPr>
              <w:br/>
            </w:r>
            <w:r w:rsidRPr="00BD2699">
              <w:rPr>
                <w:rFonts w:ascii="Times New Roman" w:eastAsia="Times New Roman" w:hAnsi="Times New Roman" w:cs="Times New Roman"/>
                <w:color w:val="000000" w:themeColor="text1"/>
                <w:sz w:val="24"/>
                <w:szCs w:val="24"/>
              </w:rPr>
              <w:t xml:space="preserve"> миллионов </w:t>
            </w:r>
            <w:proofErr w:type="spellStart"/>
            <w:r w:rsidRPr="00BD2699">
              <w:rPr>
                <w:rFonts w:ascii="Times New Roman" w:eastAsia="Times New Roman" w:hAnsi="Times New Roman" w:cs="Times New Roman"/>
                <w:color w:val="000000" w:themeColor="text1"/>
                <w:sz w:val="24"/>
                <w:szCs w:val="24"/>
              </w:rPr>
              <w:t>двухстатысячакратного</w:t>
            </w:r>
            <w:proofErr w:type="spellEnd"/>
            <w:r w:rsidRPr="00BD2699">
              <w:rPr>
                <w:rFonts w:ascii="Times New Roman" w:eastAsia="Times New Roman" w:hAnsi="Times New Roman" w:cs="Times New Roman"/>
                <w:color w:val="000000" w:themeColor="text1"/>
                <w:sz w:val="24"/>
                <w:szCs w:val="24"/>
              </w:rPr>
              <w:t xml:space="preserve"> размера месячного расчетного показателя, установленного на соответствующий финансовый год</w:t>
            </w:r>
          </w:p>
          <w:p w14:paraId="64AFC5BA" w14:textId="77777777" w:rsidR="00B04764" w:rsidRPr="00BD2699" w:rsidRDefault="00B04764" w:rsidP="00B04764">
            <w:pPr>
              <w:ind w:firstLine="446"/>
              <w:jc w:val="center"/>
              <w:rPr>
                <w:rFonts w:ascii="Times New Roman" w:eastAsia="Times New Roman" w:hAnsi="Times New Roman" w:cs="Times New Roman"/>
                <w:color w:val="000000" w:themeColor="text1"/>
                <w:sz w:val="24"/>
                <w:szCs w:val="24"/>
              </w:rPr>
            </w:pPr>
          </w:p>
          <w:p w14:paraId="464162C3" w14:textId="77777777" w:rsidR="00B04764" w:rsidRPr="00BD2699" w:rsidRDefault="00B04764" w:rsidP="00B04764">
            <w:pPr>
              <w:ind w:firstLine="446"/>
              <w:rPr>
                <w:rFonts w:ascii="Times New Roman" w:eastAsia="Times New Roman" w:hAnsi="Times New Roman" w:cs="Times New Roman"/>
                <w:color w:val="000000" w:themeColor="text1"/>
                <w:sz w:val="24"/>
                <w:szCs w:val="24"/>
              </w:rPr>
            </w:pPr>
          </w:p>
          <w:tbl>
            <w:tblPr>
              <w:tblW w:w="4664" w:type="dxa"/>
              <w:tblLayout w:type="fixed"/>
              <w:tblLook w:val="04A0" w:firstRow="1" w:lastRow="0" w:firstColumn="1" w:lastColumn="0" w:noHBand="0" w:noVBand="1"/>
            </w:tblPr>
            <w:tblGrid>
              <w:gridCol w:w="409"/>
              <w:gridCol w:w="1098"/>
              <w:gridCol w:w="1373"/>
              <w:gridCol w:w="892"/>
              <w:gridCol w:w="892"/>
            </w:tblGrid>
            <w:tr w:rsidR="00B04764" w:rsidRPr="00BD2699" w14:paraId="2A8D8EB3" w14:textId="77777777" w:rsidTr="00450A7E">
              <w:trPr>
                <w:trHeight w:val="733"/>
              </w:trPr>
              <w:tc>
                <w:tcPr>
                  <w:tcW w:w="409" w:type="dxa"/>
                  <w:tcBorders>
                    <w:top w:val="single" w:sz="4" w:space="0" w:color="auto"/>
                    <w:left w:val="single" w:sz="4" w:space="0" w:color="auto"/>
                    <w:bottom w:val="single" w:sz="4" w:space="0" w:color="auto"/>
                    <w:right w:val="single" w:sz="4" w:space="0" w:color="auto"/>
                  </w:tcBorders>
                  <w:noWrap/>
                  <w:hideMark/>
                </w:tcPr>
                <w:p w14:paraId="5576A5C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w:t>
                  </w:r>
                </w:p>
              </w:tc>
              <w:tc>
                <w:tcPr>
                  <w:tcW w:w="1098" w:type="dxa"/>
                  <w:tcBorders>
                    <w:top w:val="single" w:sz="4" w:space="0" w:color="auto"/>
                    <w:left w:val="nil"/>
                    <w:bottom w:val="single" w:sz="4" w:space="0" w:color="auto"/>
                    <w:right w:val="single" w:sz="4" w:space="0" w:color="auto"/>
                  </w:tcBorders>
                  <w:hideMark/>
                </w:tcPr>
                <w:p w14:paraId="43C2ECC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Показатели финансовой устойчивости</w:t>
                  </w:r>
                </w:p>
              </w:tc>
              <w:tc>
                <w:tcPr>
                  <w:tcW w:w="1373" w:type="dxa"/>
                  <w:tcBorders>
                    <w:top w:val="single" w:sz="4" w:space="0" w:color="auto"/>
                    <w:left w:val="nil"/>
                    <w:bottom w:val="single" w:sz="4" w:space="0" w:color="auto"/>
                    <w:right w:val="single" w:sz="4" w:space="0" w:color="auto"/>
                  </w:tcBorders>
                  <w:hideMark/>
                </w:tcPr>
                <w:p w14:paraId="2802898D"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Минимальное значение при превышении которого начисляются дополнительные проценты</w:t>
                  </w:r>
                </w:p>
              </w:tc>
              <w:tc>
                <w:tcPr>
                  <w:tcW w:w="892" w:type="dxa"/>
                  <w:tcBorders>
                    <w:top w:val="single" w:sz="4" w:space="0" w:color="auto"/>
                    <w:left w:val="nil"/>
                    <w:bottom w:val="single" w:sz="4" w:space="0" w:color="auto"/>
                    <w:right w:val="single" w:sz="4" w:space="0" w:color="auto"/>
                  </w:tcBorders>
                  <w:hideMark/>
                </w:tcPr>
                <w:p w14:paraId="0463B859"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Шаг за каждый превышающий 0,1 процент минимального значения </w:t>
                  </w:r>
                </w:p>
              </w:tc>
              <w:tc>
                <w:tcPr>
                  <w:tcW w:w="892" w:type="dxa"/>
                  <w:tcBorders>
                    <w:top w:val="single" w:sz="4" w:space="0" w:color="auto"/>
                    <w:left w:val="nil"/>
                    <w:bottom w:val="single" w:sz="4" w:space="0" w:color="auto"/>
                    <w:right w:val="single" w:sz="4" w:space="0" w:color="auto"/>
                  </w:tcBorders>
                  <w:hideMark/>
                </w:tcPr>
                <w:p w14:paraId="00A3E4CF"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xml:space="preserve">Предельное значение показателя </w:t>
                  </w:r>
                </w:p>
              </w:tc>
            </w:tr>
            <w:tr w:rsidR="00B04764" w:rsidRPr="00BD2699" w14:paraId="7397F165" w14:textId="77777777" w:rsidTr="00450A7E">
              <w:trPr>
                <w:trHeight w:val="283"/>
              </w:trPr>
              <w:tc>
                <w:tcPr>
                  <w:tcW w:w="409" w:type="dxa"/>
                  <w:tcBorders>
                    <w:top w:val="nil"/>
                    <w:left w:val="single" w:sz="4" w:space="0" w:color="auto"/>
                    <w:bottom w:val="single" w:sz="4" w:space="0" w:color="auto"/>
                    <w:right w:val="single" w:sz="4" w:space="0" w:color="auto"/>
                  </w:tcBorders>
                  <w:noWrap/>
                  <w:vAlign w:val="center"/>
                  <w:hideMark/>
                </w:tcPr>
                <w:p w14:paraId="13A83708"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1</w:t>
                  </w:r>
                </w:p>
              </w:tc>
              <w:tc>
                <w:tcPr>
                  <w:tcW w:w="1098" w:type="dxa"/>
                  <w:tcBorders>
                    <w:top w:val="nil"/>
                    <w:left w:val="nil"/>
                    <w:bottom w:val="single" w:sz="4" w:space="0" w:color="auto"/>
                    <w:right w:val="single" w:sz="4" w:space="0" w:color="auto"/>
                  </w:tcBorders>
                  <w:noWrap/>
                  <w:vAlign w:val="bottom"/>
                  <w:hideMark/>
                </w:tcPr>
                <w:p w14:paraId="3753F042"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ПД</w:t>
                  </w:r>
                </w:p>
              </w:tc>
              <w:tc>
                <w:tcPr>
                  <w:tcW w:w="1373" w:type="dxa"/>
                  <w:tcBorders>
                    <w:top w:val="nil"/>
                    <w:left w:val="nil"/>
                    <w:bottom w:val="single" w:sz="4" w:space="0" w:color="auto"/>
                    <w:right w:val="single" w:sz="4" w:space="0" w:color="auto"/>
                  </w:tcBorders>
                  <w:noWrap/>
                  <w:vAlign w:val="bottom"/>
                  <w:hideMark/>
                </w:tcPr>
                <w:p w14:paraId="2A34D49B"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50,0</w:t>
                  </w:r>
                </w:p>
              </w:tc>
              <w:tc>
                <w:tcPr>
                  <w:tcW w:w="892" w:type="dxa"/>
                  <w:tcBorders>
                    <w:top w:val="nil"/>
                    <w:left w:val="nil"/>
                    <w:bottom w:val="single" w:sz="4" w:space="0" w:color="auto"/>
                    <w:right w:val="single" w:sz="4" w:space="0" w:color="auto"/>
                  </w:tcBorders>
                  <w:vAlign w:val="bottom"/>
                  <w:hideMark/>
                </w:tcPr>
                <w:p w14:paraId="47CCF827"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0,05%</w:t>
                  </w:r>
                </w:p>
              </w:tc>
              <w:tc>
                <w:tcPr>
                  <w:tcW w:w="892" w:type="dxa"/>
                  <w:tcBorders>
                    <w:top w:val="nil"/>
                    <w:left w:val="nil"/>
                    <w:bottom w:val="single" w:sz="4" w:space="0" w:color="auto"/>
                    <w:right w:val="single" w:sz="4" w:space="0" w:color="auto"/>
                  </w:tcBorders>
                  <w:vAlign w:val="bottom"/>
                  <w:hideMark/>
                </w:tcPr>
                <w:p w14:paraId="1D58D2B3"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50%</w:t>
                  </w:r>
                </w:p>
              </w:tc>
            </w:tr>
            <w:tr w:rsidR="00B04764" w:rsidRPr="00BD2699" w14:paraId="054A9006" w14:textId="77777777" w:rsidTr="00450A7E">
              <w:trPr>
                <w:trHeight w:val="283"/>
              </w:trPr>
              <w:tc>
                <w:tcPr>
                  <w:tcW w:w="409" w:type="dxa"/>
                  <w:tcBorders>
                    <w:top w:val="nil"/>
                    <w:left w:val="single" w:sz="4" w:space="0" w:color="auto"/>
                    <w:bottom w:val="single" w:sz="4" w:space="0" w:color="auto"/>
                    <w:right w:val="single" w:sz="4" w:space="0" w:color="auto"/>
                  </w:tcBorders>
                  <w:noWrap/>
                  <w:vAlign w:val="center"/>
                  <w:hideMark/>
                </w:tcPr>
                <w:p w14:paraId="27149DC3"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2</w:t>
                  </w:r>
                </w:p>
              </w:tc>
              <w:tc>
                <w:tcPr>
                  <w:tcW w:w="1098" w:type="dxa"/>
                  <w:tcBorders>
                    <w:top w:val="nil"/>
                    <w:left w:val="nil"/>
                    <w:bottom w:val="single" w:sz="4" w:space="0" w:color="auto"/>
                    <w:right w:val="single" w:sz="4" w:space="0" w:color="auto"/>
                  </w:tcBorders>
                  <w:noWrap/>
                  <w:vAlign w:val="bottom"/>
                  <w:hideMark/>
                </w:tcPr>
                <w:p w14:paraId="5CF5153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ПУН</w:t>
                  </w:r>
                </w:p>
              </w:tc>
              <w:tc>
                <w:tcPr>
                  <w:tcW w:w="1373" w:type="dxa"/>
                  <w:tcBorders>
                    <w:top w:val="nil"/>
                    <w:left w:val="nil"/>
                    <w:bottom w:val="single" w:sz="4" w:space="0" w:color="auto"/>
                    <w:right w:val="single" w:sz="4" w:space="0" w:color="auto"/>
                  </w:tcBorders>
                  <w:noWrap/>
                  <w:vAlign w:val="bottom"/>
                  <w:hideMark/>
                </w:tcPr>
                <w:p w14:paraId="413C7F01"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3,0</w:t>
                  </w:r>
                </w:p>
              </w:tc>
              <w:tc>
                <w:tcPr>
                  <w:tcW w:w="892" w:type="dxa"/>
                  <w:tcBorders>
                    <w:top w:val="nil"/>
                    <w:left w:val="nil"/>
                    <w:bottom w:val="single" w:sz="4" w:space="0" w:color="auto"/>
                    <w:right w:val="single" w:sz="4" w:space="0" w:color="auto"/>
                  </w:tcBorders>
                  <w:vAlign w:val="bottom"/>
                  <w:hideMark/>
                </w:tcPr>
                <w:p w14:paraId="48E12BE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0,50%</w:t>
                  </w:r>
                </w:p>
              </w:tc>
              <w:tc>
                <w:tcPr>
                  <w:tcW w:w="892" w:type="dxa"/>
                  <w:tcBorders>
                    <w:top w:val="nil"/>
                    <w:left w:val="nil"/>
                    <w:bottom w:val="single" w:sz="4" w:space="0" w:color="auto"/>
                    <w:right w:val="single" w:sz="4" w:space="0" w:color="auto"/>
                  </w:tcBorders>
                  <w:vAlign w:val="bottom"/>
                  <w:hideMark/>
                </w:tcPr>
                <w:p w14:paraId="015DC491"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65%</w:t>
                  </w:r>
                </w:p>
              </w:tc>
            </w:tr>
            <w:tr w:rsidR="00B04764" w:rsidRPr="00BD2699" w14:paraId="7DBE7B55" w14:textId="77777777" w:rsidTr="00450A7E">
              <w:trPr>
                <w:trHeight w:val="283"/>
              </w:trPr>
              <w:tc>
                <w:tcPr>
                  <w:tcW w:w="409" w:type="dxa"/>
                  <w:tcBorders>
                    <w:top w:val="nil"/>
                    <w:left w:val="single" w:sz="4" w:space="0" w:color="auto"/>
                    <w:bottom w:val="single" w:sz="4" w:space="0" w:color="auto"/>
                    <w:right w:val="single" w:sz="4" w:space="0" w:color="auto"/>
                  </w:tcBorders>
                  <w:noWrap/>
                  <w:vAlign w:val="center"/>
                  <w:hideMark/>
                </w:tcPr>
                <w:p w14:paraId="1883E32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3</w:t>
                  </w:r>
                </w:p>
              </w:tc>
              <w:tc>
                <w:tcPr>
                  <w:tcW w:w="1098" w:type="dxa"/>
                  <w:tcBorders>
                    <w:top w:val="nil"/>
                    <w:left w:val="nil"/>
                    <w:bottom w:val="single" w:sz="4" w:space="0" w:color="auto"/>
                    <w:right w:val="single" w:sz="4" w:space="0" w:color="auto"/>
                  </w:tcBorders>
                  <w:noWrap/>
                  <w:vAlign w:val="bottom"/>
                  <w:hideMark/>
                </w:tcPr>
                <w:p w14:paraId="16AD9A74"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ПФОТ</w:t>
                  </w:r>
                </w:p>
              </w:tc>
              <w:tc>
                <w:tcPr>
                  <w:tcW w:w="1373" w:type="dxa"/>
                  <w:tcBorders>
                    <w:top w:val="nil"/>
                    <w:left w:val="nil"/>
                    <w:bottom w:val="single" w:sz="4" w:space="0" w:color="auto"/>
                    <w:right w:val="single" w:sz="4" w:space="0" w:color="auto"/>
                  </w:tcBorders>
                  <w:noWrap/>
                  <w:vAlign w:val="bottom"/>
                  <w:hideMark/>
                </w:tcPr>
                <w:p w14:paraId="1D0B1B7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6,6</w:t>
                  </w:r>
                </w:p>
              </w:tc>
              <w:tc>
                <w:tcPr>
                  <w:tcW w:w="892" w:type="dxa"/>
                  <w:tcBorders>
                    <w:top w:val="nil"/>
                    <w:left w:val="nil"/>
                    <w:bottom w:val="single" w:sz="4" w:space="0" w:color="auto"/>
                    <w:right w:val="single" w:sz="4" w:space="0" w:color="auto"/>
                  </w:tcBorders>
                  <w:vAlign w:val="bottom"/>
                  <w:hideMark/>
                </w:tcPr>
                <w:p w14:paraId="4E290FD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0,10%</w:t>
                  </w:r>
                </w:p>
              </w:tc>
              <w:tc>
                <w:tcPr>
                  <w:tcW w:w="892" w:type="dxa"/>
                  <w:tcBorders>
                    <w:top w:val="nil"/>
                    <w:left w:val="nil"/>
                    <w:bottom w:val="single" w:sz="4" w:space="0" w:color="auto"/>
                    <w:right w:val="single" w:sz="4" w:space="0" w:color="auto"/>
                  </w:tcBorders>
                  <w:vAlign w:val="bottom"/>
                  <w:hideMark/>
                </w:tcPr>
                <w:p w14:paraId="18513081"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75%</w:t>
                  </w:r>
                </w:p>
              </w:tc>
            </w:tr>
            <w:tr w:rsidR="00B04764" w:rsidRPr="00BD2699" w14:paraId="56E62DA8" w14:textId="77777777" w:rsidTr="00450A7E">
              <w:trPr>
                <w:trHeight w:val="283"/>
              </w:trPr>
              <w:tc>
                <w:tcPr>
                  <w:tcW w:w="409" w:type="dxa"/>
                  <w:tcBorders>
                    <w:top w:val="nil"/>
                    <w:left w:val="single" w:sz="4" w:space="0" w:color="auto"/>
                    <w:bottom w:val="single" w:sz="4" w:space="0" w:color="auto"/>
                    <w:right w:val="single" w:sz="4" w:space="0" w:color="auto"/>
                  </w:tcBorders>
                  <w:noWrap/>
                  <w:vAlign w:val="bottom"/>
                  <w:hideMark/>
                </w:tcPr>
                <w:p w14:paraId="0F8E6E1C"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p>
              </w:tc>
              <w:tc>
                <w:tcPr>
                  <w:tcW w:w="1098" w:type="dxa"/>
                  <w:tcBorders>
                    <w:top w:val="nil"/>
                    <w:left w:val="nil"/>
                    <w:bottom w:val="single" w:sz="4" w:space="0" w:color="auto"/>
                    <w:right w:val="single" w:sz="4" w:space="0" w:color="auto"/>
                  </w:tcBorders>
                  <w:noWrap/>
                  <w:vAlign w:val="bottom"/>
                  <w:hideMark/>
                </w:tcPr>
                <w:p w14:paraId="6622CFF5" w14:textId="77777777" w:rsidR="00B04764" w:rsidRPr="00BD2699" w:rsidRDefault="00B04764" w:rsidP="00B04764">
                  <w:pPr>
                    <w:spacing w:after="0" w:line="240" w:lineRule="auto"/>
                    <w:rPr>
                      <w:rFonts w:ascii="Times New Roman" w:eastAsia="Times New Roman" w:hAnsi="Times New Roman" w:cs="Times New Roman"/>
                      <w:bCs/>
                      <w:color w:val="000000" w:themeColor="text1"/>
                      <w:sz w:val="24"/>
                      <w:szCs w:val="24"/>
                    </w:rPr>
                  </w:pPr>
                  <w:r w:rsidRPr="00BD2699">
                    <w:rPr>
                      <w:rFonts w:ascii="Times New Roman" w:eastAsia="Times New Roman" w:hAnsi="Times New Roman" w:cs="Times New Roman"/>
                      <w:bCs/>
                      <w:color w:val="000000" w:themeColor="text1"/>
                      <w:sz w:val="24"/>
                      <w:szCs w:val="24"/>
                    </w:rPr>
                    <w:t>ИТОГО:</w:t>
                  </w:r>
                </w:p>
              </w:tc>
              <w:tc>
                <w:tcPr>
                  <w:tcW w:w="1373" w:type="dxa"/>
                  <w:tcBorders>
                    <w:top w:val="nil"/>
                    <w:left w:val="nil"/>
                    <w:bottom w:val="single" w:sz="4" w:space="0" w:color="auto"/>
                    <w:right w:val="single" w:sz="4" w:space="0" w:color="auto"/>
                  </w:tcBorders>
                  <w:noWrap/>
                  <w:vAlign w:val="bottom"/>
                  <w:hideMark/>
                </w:tcPr>
                <w:p w14:paraId="6090D526"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892" w:type="dxa"/>
                  <w:tcBorders>
                    <w:top w:val="nil"/>
                    <w:left w:val="nil"/>
                    <w:bottom w:val="single" w:sz="4" w:space="0" w:color="auto"/>
                    <w:right w:val="single" w:sz="4" w:space="0" w:color="auto"/>
                  </w:tcBorders>
                  <w:vAlign w:val="bottom"/>
                  <w:hideMark/>
                </w:tcPr>
                <w:p w14:paraId="2F4E0945" w14:textId="77777777" w:rsidR="00B04764" w:rsidRPr="00BD2699" w:rsidRDefault="00B04764" w:rsidP="00B04764">
                  <w:pPr>
                    <w:spacing w:after="0" w:line="240" w:lineRule="auto"/>
                    <w:rPr>
                      <w:rFonts w:ascii="Times New Roman" w:eastAsia="Times New Roman" w:hAnsi="Times New Roman" w:cs="Times New Roman"/>
                      <w:color w:val="000000" w:themeColor="text1"/>
                      <w:sz w:val="24"/>
                      <w:szCs w:val="24"/>
                    </w:rPr>
                  </w:pPr>
                  <w:r w:rsidRPr="00BD2699">
                    <w:rPr>
                      <w:rFonts w:ascii="Times New Roman" w:eastAsia="Times New Roman" w:hAnsi="Times New Roman" w:cs="Times New Roman"/>
                      <w:color w:val="000000" w:themeColor="text1"/>
                      <w:sz w:val="24"/>
                      <w:szCs w:val="24"/>
                    </w:rPr>
                    <w:t> </w:t>
                  </w:r>
                </w:p>
              </w:tc>
              <w:tc>
                <w:tcPr>
                  <w:tcW w:w="892" w:type="dxa"/>
                  <w:tcBorders>
                    <w:top w:val="nil"/>
                    <w:left w:val="nil"/>
                    <w:bottom w:val="single" w:sz="4" w:space="0" w:color="auto"/>
                    <w:right w:val="single" w:sz="4" w:space="0" w:color="auto"/>
                  </w:tcBorders>
                  <w:vAlign w:val="bottom"/>
                  <w:hideMark/>
                </w:tcPr>
                <w:p w14:paraId="5FC65636" w14:textId="77777777" w:rsidR="00B04764" w:rsidRPr="00BD2699" w:rsidRDefault="00B04764" w:rsidP="00B04764">
                  <w:pPr>
                    <w:spacing w:after="0" w:line="240" w:lineRule="auto"/>
                    <w:rPr>
                      <w:rFonts w:ascii="Times New Roman" w:eastAsia="Times New Roman" w:hAnsi="Times New Roman" w:cs="Times New Roman"/>
                      <w:b/>
                      <w:color w:val="000000" w:themeColor="text1"/>
                      <w:sz w:val="24"/>
                      <w:szCs w:val="24"/>
                    </w:rPr>
                  </w:pPr>
                  <w:r w:rsidRPr="00BD2699">
                    <w:rPr>
                      <w:rFonts w:ascii="Times New Roman" w:eastAsia="Times New Roman" w:hAnsi="Times New Roman" w:cs="Times New Roman"/>
                      <w:b/>
                      <w:color w:val="000000" w:themeColor="text1"/>
                      <w:sz w:val="24"/>
                      <w:szCs w:val="24"/>
                    </w:rPr>
                    <w:t>190%</w:t>
                  </w:r>
                </w:p>
              </w:tc>
            </w:tr>
          </w:tbl>
          <w:p w14:paraId="58C2F6CE" w14:textId="77777777" w:rsidR="00B04764" w:rsidRPr="00BD2699" w:rsidRDefault="00B04764" w:rsidP="00B04764">
            <w:pPr>
              <w:jc w:val="center"/>
              <w:rPr>
                <w:rFonts w:ascii="Times New Roman" w:eastAsia="Times New Roman" w:hAnsi="Times New Roman" w:cs="Times New Roman"/>
                <w:color w:val="000000"/>
                <w:sz w:val="24"/>
                <w:szCs w:val="24"/>
              </w:rPr>
            </w:pPr>
          </w:p>
        </w:tc>
        <w:tc>
          <w:tcPr>
            <w:tcW w:w="3260" w:type="dxa"/>
            <w:shd w:val="clear" w:color="auto" w:fill="auto"/>
          </w:tcPr>
          <w:p w14:paraId="4A831207" w14:textId="57727047" w:rsidR="00B04764" w:rsidRPr="00BD2699" w:rsidRDefault="00B04764" w:rsidP="00B04764">
            <w:pPr>
              <w:ind w:firstLine="317"/>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lastRenderedPageBreak/>
              <w:t xml:space="preserve">В целях расширения конкурентной среды предлагается снизить пороговые значения показателей финансовой устойчивости. </w:t>
            </w:r>
          </w:p>
        </w:tc>
      </w:tr>
      <w:tr w:rsidR="00B04764" w:rsidRPr="00BD2699" w14:paraId="5388DF69" w14:textId="77777777" w:rsidTr="007D6304">
        <w:trPr>
          <w:gridAfter w:val="1"/>
          <w:wAfter w:w="18" w:type="dxa"/>
          <w:trHeight w:val="407"/>
        </w:trPr>
        <w:tc>
          <w:tcPr>
            <w:tcW w:w="605" w:type="dxa"/>
            <w:shd w:val="clear" w:color="auto" w:fill="auto"/>
          </w:tcPr>
          <w:p w14:paraId="51F39943"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094B7284" w14:textId="39892223" w:rsidR="00B04764" w:rsidRPr="00BD2699" w:rsidRDefault="00B04764" w:rsidP="00B04764">
            <w:pPr>
              <w:jc w:val="center"/>
              <w:rPr>
                <w:rFonts w:ascii="Times New Roman" w:hAnsi="Times New Roman" w:cs="Times New Roman"/>
                <w:sz w:val="24"/>
                <w:szCs w:val="24"/>
              </w:rPr>
            </w:pPr>
            <w:r w:rsidRPr="00BD2699">
              <w:rPr>
                <w:rFonts w:ascii="Times New Roman" w:hAnsi="Times New Roman" w:cs="Times New Roman"/>
                <w:sz w:val="24"/>
                <w:szCs w:val="24"/>
              </w:rPr>
              <w:t>Приложение 11-5 к Правилам</w:t>
            </w:r>
          </w:p>
        </w:tc>
        <w:tc>
          <w:tcPr>
            <w:tcW w:w="4950" w:type="dxa"/>
            <w:shd w:val="clear" w:color="auto" w:fill="auto"/>
          </w:tcPr>
          <w:tbl>
            <w:tblPr>
              <w:tblW w:w="3299" w:type="dxa"/>
              <w:jc w:val="right"/>
              <w:shd w:val="clear" w:color="auto" w:fill="FFFFFF"/>
              <w:tblLayout w:type="fixed"/>
              <w:tblCellMar>
                <w:left w:w="0" w:type="dxa"/>
                <w:right w:w="0" w:type="dxa"/>
              </w:tblCellMar>
              <w:tblLook w:val="04A0" w:firstRow="1" w:lastRow="0" w:firstColumn="1" w:lastColumn="0" w:noHBand="0" w:noVBand="1"/>
            </w:tblPr>
            <w:tblGrid>
              <w:gridCol w:w="3299"/>
            </w:tblGrid>
            <w:tr w:rsidR="00B04764" w:rsidRPr="00BD2699" w14:paraId="3F7B61BD" w14:textId="77777777" w:rsidTr="00CD28FE">
              <w:trPr>
                <w:trHeight w:val="804"/>
                <w:jc w:val="right"/>
              </w:trPr>
              <w:tc>
                <w:tcPr>
                  <w:tcW w:w="3299" w:type="dxa"/>
                  <w:shd w:val="clear" w:color="auto" w:fill="auto"/>
                  <w:tcMar>
                    <w:top w:w="45" w:type="dxa"/>
                    <w:left w:w="75" w:type="dxa"/>
                    <w:bottom w:w="45" w:type="dxa"/>
                    <w:right w:w="75" w:type="dxa"/>
                  </w:tcMar>
                  <w:hideMark/>
                </w:tcPr>
                <w:p w14:paraId="37186F87"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rPr>
                  </w:pPr>
                  <w:r w:rsidRPr="00BD2699">
                    <w:rPr>
                      <w:rFonts w:ascii="Times New Roman" w:eastAsia="Times New Roman" w:hAnsi="Times New Roman" w:cs="Times New Roman"/>
                      <w:color w:val="000000"/>
                      <w:sz w:val="24"/>
                      <w:szCs w:val="24"/>
                    </w:rPr>
                    <w:t>Приложение 11-5</w:t>
                  </w:r>
                  <w:r w:rsidRPr="00BD2699">
                    <w:rPr>
                      <w:rFonts w:ascii="Times New Roman" w:eastAsia="Times New Roman" w:hAnsi="Times New Roman" w:cs="Times New Roman"/>
                      <w:color w:val="000000"/>
                      <w:sz w:val="24"/>
                      <w:szCs w:val="24"/>
                    </w:rPr>
                    <w:br/>
                    <w:t>к Правилам осуществления</w:t>
                  </w:r>
                  <w:r w:rsidRPr="00BD2699">
                    <w:rPr>
                      <w:rFonts w:ascii="Times New Roman" w:eastAsia="Times New Roman" w:hAnsi="Times New Roman" w:cs="Times New Roman"/>
                      <w:color w:val="000000"/>
                      <w:sz w:val="24"/>
                      <w:szCs w:val="24"/>
                    </w:rPr>
                    <w:br/>
                    <w:t>государственных закупок</w:t>
                  </w:r>
                </w:p>
              </w:tc>
            </w:tr>
          </w:tbl>
          <w:p w14:paraId="771E40C4"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rPr>
            </w:pPr>
            <w:r w:rsidRPr="00BD2699">
              <w:rPr>
                <w:rFonts w:ascii="Times New Roman" w:eastAsia="Times New Roman" w:hAnsi="Times New Roman" w:cs="Times New Roman"/>
                <w:color w:val="1E1E1E"/>
                <w:sz w:val="24"/>
                <w:szCs w:val="24"/>
              </w:rPr>
              <w:t xml:space="preserve">Перечень </w:t>
            </w:r>
          </w:p>
          <w:p w14:paraId="7B616560" w14:textId="3B1A32DE"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rPr>
            </w:pPr>
            <w:r w:rsidRPr="00BD2699">
              <w:rPr>
                <w:rFonts w:ascii="Times New Roman" w:eastAsia="Times New Roman" w:hAnsi="Times New Roman" w:cs="Times New Roman"/>
                <w:color w:val="1E1E1E"/>
                <w:sz w:val="24"/>
                <w:szCs w:val="24"/>
              </w:rPr>
              <w:t>государственных закупок работ, услуг, при осуществлении которых применяются отрицательные значения в качестве критерия, влияющего на конкурсное ценовое предложение</w:t>
            </w:r>
          </w:p>
          <w:p w14:paraId="627B0C48" w14:textId="693FF67C" w:rsidR="00B04764" w:rsidRPr="00BD2699" w:rsidRDefault="00B04764" w:rsidP="00B04764">
            <w:pPr>
              <w:shd w:val="clear" w:color="auto" w:fill="FFFFFF"/>
              <w:textAlignment w:val="baseline"/>
              <w:rPr>
                <w:rFonts w:ascii="Times New Roman" w:eastAsia="Times New Roman" w:hAnsi="Times New Roman" w:cs="Times New Roman"/>
                <w:color w:val="FF0000"/>
                <w:spacing w:val="2"/>
                <w:sz w:val="24"/>
                <w:szCs w:val="24"/>
              </w:rPr>
            </w:pPr>
          </w:p>
          <w:tbl>
            <w:tblPr>
              <w:tblW w:w="4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26"/>
              <w:gridCol w:w="4122"/>
            </w:tblGrid>
            <w:tr w:rsidR="00B04764" w:rsidRPr="00BD2699" w14:paraId="7E0614CA" w14:textId="77777777" w:rsidTr="00CD28FE">
              <w:trPr>
                <w:trHeight w:val="275"/>
              </w:trPr>
              <w:tc>
                <w:tcPr>
                  <w:tcW w:w="526" w:type="dxa"/>
                  <w:shd w:val="clear" w:color="auto" w:fill="auto"/>
                  <w:tcMar>
                    <w:top w:w="45" w:type="dxa"/>
                    <w:left w:w="75" w:type="dxa"/>
                    <w:bottom w:w="45" w:type="dxa"/>
                    <w:right w:w="75" w:type="dxa"/>
                  </w:tcMar>
                  <w:hideMark/>
                </w:tcPr>
                <w:p w14:paraId="25932277"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w:t>
                  </w:r>
                </w:p>
              </w:tc>
              <w:tc>
                <w:tcPr>
                  <w:tcW w:w="4122" w:type="dxa"/>
                  <w:shd w:val="clear" w:color="auto" w:fill="auto"/>
                  <w:tcMar>
                    <w:top w:w="45" w:type="dxa"/>
                    <w:left w:w="75" w:type="dxa"/>
                    <w:bottom w:w="45" w:type="dxa"/>
                    <w:right w:w="75" w:type="dxa"/>
                  </w:tcMar>
                  <w:hideMark/>
                </w:tcPr>
                <w:p w14:paraId="189DEFD2"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Наименование работ, услуг</w:t>
                  </w:r>
                </w:p>
              </w:tc>
            </w:tr>
            <w:tr w:rsidR="00B04764" w:rsidRPr="00BD2699" w14:paraId="7084710A" w14:textId="77777777" w:rsidTr="00CD28FE">
              <w:trPr>
                <w:trHeight w:val="264"/>
              </w:trPr>
              <w:tc>
                <w:tcPr>
                  <w:tcW w:w="526" w:type="dxa"/>
                  <w:shd w:val="clear" w:color="auto" w:fill="auto"/>
                  <w:tcMar>
                    <w:top w:w="45" w:type="dxa"/>
                    <w:left w:w="75" w:type="dxa"/>
                    <w:bottom w:w="45" w:type="dxa"/>
                    <w:right w:w="75" w:type="dxa"/>
                  </w:tcMar>
                  <w:hideMark/>
                </w:tcPr>
                <w:p w14:paraId="4A5890DA"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1.</w:t>
                  </w:r>
                </w:p>
              </w:tc>
              <w:tc>
                <w:tcPr>
                  <w:tcW w:w="4122" w:type="dxa"/>
                  <w:shd w:val="clear" w:color="auto" w:fill="auto"/>
                  <w:tcMar>
                    <w:top w:w="45" w:type="dxa"/>
                    <w:left w:w="75" w:type="dxa"/>
                    <w:bottom w:w="45" w:type="dxa"/>
                    <w:right w:w="75" w:type="dxa"/>
                  </w:tcMar>
                  <w:hideMark/>
                </w:tcPr>
                <w:p w14:paraId="42B9E49F"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Строительно-монтажные работы</w:t>
                  </w:r>
                </w:p>
              </w:tc>
            </w:tr>
            <w:tr w:rsidR="00B04764" w:rsidRPr="00BD2699" w14:paraId="3F13B6AB" w14:textId="77777777" w:rsidTr="00CD28FE">
              <w:trPr>
                <w:trHeight w:val="552"/>
              </w:trPr>
              <w:tc>
                <w:tcPr>
                  <w:tcW w:w="526" w:type="dxa"/>
                  <w:shd w:val="clear" w:color="auto" w:fill="auto"/>
                  <w:tcMar>
                    <w:top w:w="45" w:type="dxa"/>
                    <w:left w:w="75" w:type="dxa"/>
                    <w:bottom w:w="45" w:type="dxa"/>
                    <w:right w:w="75" w:type="dxa"/>
                  </w:tcMar>
                  <w:hideMark/>
                </w:tcPr>
                <w:p w14:paraId="23F17F33"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2.</w:t>
                  </w:r>
                </w:p>
              </w:tc>
              <w:tc>
                <w:tcPr>
                  <w:tcW w:w="4122" w:type="dxa"/>
                  <w:shd w:val="clear" w:color="auto" w:fill="auto"/>
                  <w:tcMar>
                    <w:top w:w="45" w:type="dxa"/>
                    <w:left w:w="75" w:type="dxa"/>
                    <w:bottom w:w="45" w:type="dxa"/>
                    <w:right w:w="75" w:type="dxa"/>
                  </w:tcMar>
                  <w:hideMark/>
                </w:tcPr>
                <w:p w14:paraId="02A99708"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 xml:space="preserve">Работы по разработке технико-экономического обоснования, проектно-сметной (типовой </w:t>
                  </w:r>
                  <w:r w:rsidRPr="00BD2699">
                    <w:rPr>
                      <w:rFonts w:ascii="Times New Roman" w:eastAsia="Times New Roman" w:hAnsi="Times New Roman" w:cs="Times New Roman"/>
                      <w:color w:val="000000"/>
                      <w:spacing w:val="2"/>
                      <w:sz w:val="24"/>
                      <w:szCs w:val="24"/>
                    </w:rPr>
                    <w:lastRenderedPageBreak/>
                    <w:t>проектно-сметной) документации и градостроительных проектов</w:t>
                  </w:r>
                </w:p>
              </w:tc>
            </w:tr>
            <w:tr w:rsidR="00B04764" w:rsidRPr="00BD2699" w14:paraId="283C3DE4" w14:textId="77777777" w:rsidTr="00CD28FE">
              <w:trPr>
                <w:trHeight w:val="275"/>
              </w:trPr>
              <w:tc>
                <w:tcPr>
                  <w:tcW w:w="526" w:type="dxa"/>
                  <w:shd w:val="clear" w:color="auto" w:fill="auto"/>
                  <w:tcMar>
                    <w:top w:w="45" w:type="dxa"/>
                    <w:left w:w="75" w:type="dxa"/>
                    <w:bottom w:w="45" w:type="dxa"/>
                    <w:right w:w="75" w:type="dxa"/>
                  </w:tcMar>
                  <w:hideMark/>
                </w:tcPr>
                <w:p w14:paraId="725390C4"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lastRenderedPageBreak/>
                    <w:t>3.</w:t>
                  </w:r>
                </w:p>
              </w:tc>
              <w:tc>
                <w:tcPr>
                  <w:tcW w:w="4122" w:type="dxa"/>
                  <w:shd w:val="clear" w:color="auto" w:fill="auto"/>
                  <w:tcMar>
                    <w:top w:w="45" w:type="dxa"/>
                    <w:left w:w="75" w:type="dxa"/>
                    <w:bottom w:w="45" w:type="dxa"/>
                    <w:right w:w="75" w:type="dxa"/>
                  </w:tcMar>
                  <w:hideMark/>
                </w:tcPr>
                <w:p w14:paraId="0AE5AD76"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Работы по комплексной вневедомственной экспертизе проектов строительства объектов</w:t>
                  </w:r>
                </w:p>
              </w:tc>
            </w:tr>
            <w:tr w:rsidR="00B04764" w:rsidRPr="00BD2699" w14:paraId="6DBDC416" w14:textId="77777777" w:rsidTr="00CD28FE">
              <w:trPr>
                <w:trHeight w:val="817"/>
              </w:trPr>
              <w:tc>
                <w:tcPr>
                  <w:tcW w:w="526" w:type="dxa"/>
                  <w:shd w:val="clear" w:color="auto" w:fill="auto"/>
                  <w:tcMar>
                    <w:top w:w="45" w:type="dxa"/>
                    <w:left w:w="75" w:type="dxa"/>
                    <w:bottom w:w="45" w:type="dxa"/>
                    <w:right w:w="75" w:type="dxa"/>
                  </w:tcMar>
                  <w:hideMark/>
                </w:tcPr>
                <w:p w14:paraId="2A1F2C3F"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4.</w:t>
                  </w:r>
                </w:p>
              </w:tc>
              <w:tc>
                <w:tcPr>
                  <w:tcW w:w="4122" w:type="dxa"/>
                  <w:shd w:val="clear" w:color="auto" w:fill="auto"/>
                  <w:tcMar>
                    <w:top w:w="45" w:type="dxa"/>
                    <w:left w:w="75" w:type="dxa"/>
                    <w:bottom w:w="45" w:type="dxa"/>
                    <w:right w:w="75" w:type="dxa"/>
                  </w:tcMar>
                  <w:hideMark/>
                </w:tcPr>
                <w:p w14:paraId="2761CB37" w14:textId="31521664" w:rsidR="00B04764" w:rsidRPr="00BD2699" w:rsidRDefault="00B04764" w:rsidP="00B04764">
                  <w:pPr>
                    <w:spacing w:after="0" w:line="240" w:lineRule="auto"/>
                    <w:textAlignment w:val="baseline"/>
                    <w:rPr>
                      <w:rFonts w:ascii="Times New Roman" w:eastAsia="Times New Roman" w:hAnsi="Times New Roman" w:cs="Times New Roman"/>
                      <w:color w:val="000000"/>
                      <w:sz w:val="24"/>
                      <w:szCs w:val="24"/>
                    </w:rPr>
                  </w:pPr>
                  <w:r w:rsidRPr="00BD2699">
                    <w:rPr>
                      <w:rFonts w:ascii="Times New Roman" w:eastAsia="Times New Roman" w:hAnsi="Times New Roman" w:cs="Times New Roman"/>
                      <w:color w:val="000000"/>
                      <w:spacing w:val="2"/>
                      <w:sz w:val="24"/>
                      <w:szCs w:val="24"/>
                    </w:rPr>
                    <w:t>Инжиниринговые услуги в сфере архитектурной, градостроительной и строительной деятельности (технический надзор, управление проектом)</w:t>
                  </w:r>
                </w:p>
              </w:tc>
            </w:tr>
          </w:tbl>
          <w:p w14:paraId="2E74D6E5" w14:textId="77777777" w:rsidR="00B04764" w:rsidRPr="00BD2699" w:rsidRDefault="00B04764" w:rsidP="00B04764">
            <w:pPr>
              <w:jc w:val="center"/>
              <w:rPr>
                <w:rFonts w:ascii="Times New Roman" w:eastAsia="Times New Roman" w:hAnsi="Times New Roman" w:cs="Times New Roman"/>
                <w:sz w:val="24"/>
                <w:szCs w:val="24"/>
              </w:rPr>
            </w:pPr>
          </w:p>
        </w:tc>
        <w:tc>
          <w:tcPr>
            <w:tcW w:w="5245" w:type="dxa"/>
            <w:shd w:val="clear" w:color="auto" w:fill="auto"/>
          </w:tcPr>
          <w:tbl>
            <w:tblPr>
              <w:tblW w:w="3299" w:type="dxa"/>
              <w:jc w:val="right"/>
              <w:shd w:val="clear" w:color="auto" w:fill="FFFFFF"/>
              <w:tblLayout w:type="fixed"/>
              <w:tblCellMar>
                <w:left w:w="0" w:type="dxa"/>
                <w:right w:w="0" w:type="dxa"/>
              </w:tblCellMar>
              <w:tblLook w:val="04A0" w:firstRow="1" w:lastRow="0" w:firstColumn="1" w:lastColumn="0" w:noHBand="0" w:noVBand="1"/>
            </w:tblPr>
            <w:tblGrid>
              <w:gridCol w:w="3299"/>
            </w:tblGrid>
            <w:tr w:rsidR="00B04764" w:rsidRPr="00BD2699" w14:paraId="251442EE" w14:textId="77777777" w:rsidTr="003C00A5">
              <w:trPr>
                <w:trHeight w:val="804"/>
                <w:jc w:val="right"/>
              </w:trPr>
              <w:tc>
                <w:tcPr>
                  <w:tcW w:w="3299" w:type="dxa"/>
                  <w:shd w:val="clear" w:color="auto" w:fill="auto"/>
                  <w:tcMar>
                    <w:top w:w="45" w:type="dxa"/>
                    <w:left w:w="75" w:type="dxa"/>
                    <w:bottom w:w="45" w:type="dxa"/>
                    <w:right w:w="75" w:type="dxa"/>
                  </w:tcMar>
                  <w:hideMark/>
                </w:tcPr>
                <w:p w14:paraId="72BF0448"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rPr>
                  </w:pPr>
                  <w:r w:rsidRPr="00BD2699">
                    <w:rPr>
                      <w:rFonts w:ascii="Times New Roman" w:eastAsia="Times New Roman" w:hAnsi="Times New Roman" w:cs="Times New Roman"/>
                      <w:color w:val="000000"/>
                      <w:sz w:val="24"/>
                      <w:szCs w:val="24"/>
                    </w:rPr>
                    <w:lastRenderedPageBreak/>
                    <w:t>Приложение 11-5</w:t>
                  </w:r>
                  <w:r w:rsidRPr="00BD2699">
                    <w:rPr>
                      <w:rFonts w:ascii="Times New Roman" w:eastAsia="Times New Roman" w:hAnsi="Times New Roman" w:cs="Times New Roman"/>
                      <w:color w:val="000000"/>
                      <w:sz w:val="24"/>
                      <w:szCs w:val="24"/>
                    </w:rPr>
                    <w:br/>
                    <w:t>к Правилам осуществления</w:t>
                  </w:r>
                  <w:r w:rsidRPr="00BD2699">
                    <w:rPr>
                      <w:rFonts w:ascii="Times New Roman" w:eastAsia="Times New Roman" w:hAnsi="Times New Roman" w:cs="Times New Roman"/>
                      <w:color w:val="000000"/>
                      <w:sz w:val="24"/>
                      <w:szCs w:val="24"/>
                    </w:rPr>
                    <w:br/>
                    <w:t>государственных закупок</w:t>
                  </w:r>
                </w:p>
              </w:tc>
            </w:tr>
          </w:tbl>
          <w:p w14:paraId="15587935"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rPr>
            </w:pPr>
            <w:r w:rsidRPr="00BD2699">
              <w:rPr>
                <w:rFonts w:ascii="Times New Roman" w:eastAsia="Times New Roman" w:hAnsi="Times New Roman" w:cs="Times New Roman"/>
                <w:color w:val="1E1E1E"/>
                <w:sz w:val="24"/>
                <w:szCs w:val="24"/>
              </w:rPr>
              <w:t xml:space="preserve">Перечень </w:t>
            </w:r>
          </w:p>
          <w:p w14:paraId="7E2EAA6F"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rPr>
            </w:pPr>
            <w:r w:rsidRPr="00BD2699">
              <w:rPr>
                <w:rFonts w:ascii="Times New Roman" w:eastAsia="Times New Roman" w:hAnsi="Times New Roman" w:cs="Times New Roman"/>
                <w:color w:val="1E1E1E"/>
                <w:sz w:val="24"/>
                <w:szCs w:val="24"/>
              </w:rPr>
              <w:t>государственных закупок работ, услуг, при осуществлении которых применяются отрицательные значения в качестве критерия, влияющего на конкурсное ценовое предложение</w:t>
            </w:r>
          </w:p>
          <w:p w14:paraId="5F4D6FC4" w14:textId="77777777" w:rsidR="00B04764" w:rsidRPr="00BD2699" w:rsidRDefault="00B04764" w:rsidP="00B04764">
            <w:pPr>
              <w:shd w:val="clear" w:color="auto" w:fill="FFFFFF"/>
              <w:textAlignment w:val="baseline"/>
              <w:rPr>
                <w:rFonts w:ascii="Times New Roman" w:eastAsia="Times New Roman" w:hAnsi="Times New Roman" w:cs="Times New Roman"/>
                <w:color w:val="FF0000"/>
                <w:spacing w:val="2"/>
                <w:sz w:val="24"/>
                <w:szCs w:val="24"/>
              </w:rPr>
            </w:pPr>
          </w:p>
          <w:tbl>
            <w:tblPr>
              <w:tblW w:w="4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26"/>
              <w:gridCol w:w="4122"/>
            </w:tblGrid>
            <w:tr w:rsidR="00B04764" w:rsidRPr="00BD2699" w14:paraId="357C128B" w14:textId="77777777" w:rsidTr="003C00A5">
              <w:trPr>
                <w:trHeight w:val="275"/>
              </w:trPr>
              <w:tc>
                <w:tcPr>
                  <w:tcW w:w="526" w:type="dxa"/>
                  <w:shd w:val="clear" w:color="auto" w:fill="auto"/>
                  <w:tcMar>
                    <w:top w:w="45" w:type="dxa"/>
                    <w:left w:w="75" w:type="dxa"/>
                    <w:bottom w:w="45" w:type="dxa"/>
                    <w:right w:w="75" w:type="dxa"/>
                  </w:tcMar>
                  <w:hideMark/>
                </w:tcPr>
                <w:p w14:paraId="38C58D64"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w:t>
                  </w:r>
                </w:p>
              </w:tc>
              <w:tc>
                <w:tcPr>
                  <w:tcW w:w="4122" w:type="dxa"/>
                  <w:shd w:val="clear" w:color="auto" w:fill="auto"/>
                  <w:tcMar>
                    <w:top w:w="45" w:type="dxa"/>
                    <w:left w:w="75" w:type="dxa"/>
                    <w:bottom w:w="45" w:type="dxa"/>
                    <w:right w:w="75" w:type="dxa"/>
                  </w:tcMar>
                  <w:hideMark/>
                </w:tcPr>
                <w:p w14:paraId="0DCE1158"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Наименование работ, услуг</w:t>
                  </w:r>
                </w:p>
              </w:tc>
            </w:tr>
            <w:tr w:rsidR="00B04764" w:rsidRPr="00BD2699" w14:paraId="10C16395" w14:textId="77777777" w:rsidTr="003C00A5">
              <w:trPr>
                <w:trHeight w:val="264"/>
              </w:trPr>
              <w:tc>
                <w:tcPr>
                  <w:tcW w:w="526" w:type="dxa"/>
                  <w:shd w:val="clear" w:color="auto" w:fill="auto"/>
                  <w:tcMar>
                    <w:top w:w="45" w:type="dxa"/>
                    <w:left w:w="75" w:type="dxa"/>
                    <w:bottom w:w="45" w:type="dxa"/>
                    <w:right w:w="75" w:type="dxa"/>
                  </w:tcMar>
                  <w:hideMark/>
                </w:tcPr>
                <w:p w14:paraId="73E03376"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1.</w:t>
                  </w:r>
                </w:p>
              </w:tc>
              <w:tc>
                <w:tcPr>
                  <w:tcW w:w="4122" w:type="dxa"/>
                  <w:shd w:val="clear" w:color="auto" w:fill="auto"/>
                  <w:tcMar>
                    <w:top w:w="45" w:type="dxa"/>
                    <w:left w:w="75" w:type="dxa"/>
                    <w:bottom w:w="45" w:type="dxa"/>
                    <w:right w:w="75" w:type="dxa"/>
                  </w:tcMar>
                  <w:hideMark/>
                </w:tcPr>
                <w:p w14:paraId="7B233551"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Строительно-монтажные работы</w:t>
                  </w:r>
                </w:p>
              </w:tc>
            </w:tr>
            <w:tr w:rsidR="00B04764" w:rsidRPr="00BD2699" w14:paraId="7D5F01CB" w14:textId="77777777" w:rsidTr="003C00A5">
              <w:trPr>
                <w:trHeight w:val="552"/>
              </w:trPr>
              <w:tc>
                <w:tcPr>
                  <w:tcW w:w="526" w:type="dxa"/>
                  <w:shd w:val="clear" w:color="auto" w:fill="auto"/>
                  <w:tcMar>
                    <w:top w:w="45" w:type="dxa"/>
                    <w:left w:w="75" w:type="dxa"/>
                    <w:bottom w:w="45" w:type="dxa"/>
                    <w:right w:w="75" w:type="dxa"/>
                  </w:tcMar>
                  <w:hideMark/>
                </w:tcPr>
                <w:p w14:paraId="6616080B"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2.</w:t>
                  </w:r>
                </w:p>
              </w:tc>
              <w:tc>
                <w:tcPr>
                  <w:tcW w:w="4122" w:type="dxa"/>
                  <w:shd w:val="clear" w:color="auto" w:fill="auto"/>
                  <w:tcMar>
                    <w:top w:w="45" w:type="dxa"/>
                    <w:left w:w="75" w:type="dxa"/>
                    <w:bottom w:w="45" w:type="dxa"/>
                    <w:right w:w="75" w:type="dxa"/>
                  </w:tcMar>
                  <w:hideMark/>
                </w:tcPr>
                <w:p w14:paraId="763F81AF"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 xml:space="preserve">Работы по разработке технико-экономического обоснования, проектно-сметной (типовой </w:t>
                  </w:r>
                  <w:r w:rsidRPr="00BD2699">
                    <w:rPr>
                      <w:rFonts w:ascii="Times New Roman" w:eastAsia="Times New Roman" w:hAnsi="Times New Roman" w:cs="Times New Roman"/>
                      <w:color w:val="000000"/>
                      <w:spacing w:val="2"/>
                      <w:sz w:val="24"/>
                      <w:szCs w:val="24"/>
                    </w:rPr>
                    <w:lastRenderedPageBreak/>
                    <w:t>проектно-сметной) документации и градостроительных проектов</w:t>
                  </w:r>
                </w:p>
              </w:tc>
            </w:tr>
            <w:tr w:rsidR="00B04764" w:rsidRPr="00BD2699" w14:paraId="7FAAB678" w14:textId="77777777" w:rsidTr="003C00A5">
              <w:trPr>
                <w:trHeight w:val="275"/>
              </w:trPr>
              <w:tc>
                <w:tcPr>
                  <w:tcW w:w="526" w:type="dxa"/>
                  <w:shd w:val="clear" w:color="auto" w:fill="auto"/>
                  <w:tcMar>
                    <w:top w:w="45" w:type="dxa"/>
                    <w:left w:w="75" w:type="dxa"/>
                    <w:bottom w:w="45" w:type="dxa"/>
                    <w:right w:w="75" w:type="dxa"/>
                  </w:tcMar>
                  <w:hideMark/>
                </w:tcPr>
                <w:p w14:paraId="40D4C640"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lastRenderedPageBreak/>
                    <w:t>3.</w:t>
                  </w:r>
                </w:p>
              </w:tc>
              <w:tc>
                <w:tcPr>
                  <w:tcW w:w="4122" w:type="dxa"/>
                  <w:shd w:val="clear" w:color="auto" w:fill="auto"/>
                  <w:tcMar>
                    <w:top w:w="45" w:type="dxa"/>
                    <w:left w:w="75" w:type="dxa"/>
                    <w:bottom w:w="45" w:type="dxa"/>
                    <w:right w:w="75" w:type="dxa"/>
                  </w:tcMar>
                  <w:hideMark/>
                </w:tcPr>
                <w:p w14:paraId="3DC668AE"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Работы по комплексной вневедомственной экспертизе проектов строительства объектов</w:t>
                  </w:r>
                </w:p>
              </w:tc>
            </w:tr>
            <w:tr w:rsidR="00B04764" w:rsidRPr="00BD2699" w14:paraId="4658C094" w14:textId="77777777" w:rsidTr="003C00A5">
              <w:trPr>
                <w:trHeight w:val="817"/>
              </w:trPr>
              <w:tc>
                <w:tcPr>
                  <w:tcW w:w="526" w:type="dxa"/>
                  <w:shd w:val="clear" w:color="auto" w:fill="auto"/>
                  <w:tcMar>
                    <w:top w:w="45" w:type="dxa"/>
                    <w:left w:w="75" w:type="dxa"/>
                    <w:bottom w:w="45" w:type="dxa"/>
                    <w:right w:w="75" w:type="dxa"/>
                  </w:tcMar>
                  <w:hideMark/>
                </w:tcPr>
                <w:p w14:paraId="532722F0"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4.</w:t>
                  </w:r>
                </w:p>
              </w:tc>
              <w:tc>
                <w:tcPr>
                  <w:tcW w:w="4122" w:type="dxa"/>
                  <w:shd w:val="clear" w:color="auto" w:fill="auto"/>
                  <w:tcMar>
                    <w:top w:w="45" w:type="dxa"/>
                    <w:left w:w="75" w:type="dxa"/>
                    <w:bottom w:w="45" w:type="dxa"/>
                    <w:right w:w="75" w:type="dxa"/>
                  </w:tcMar>
                  <w:hideMark/>
                </w:tcPr>
                <w:p w14:paraId="1F742915" w14:textId="77777777" w:rsidR="00B04764" w:rsidRPr="00BD2699" w:rsidRDefault="00B04764" w:rsidP="00B04764">
                  <w:pPr>
                    <w:spacing w:after="0" w:line="240" w:lineRule="auto"/>
                    <w:textAlignment w:val="baseline"/>
                    <w:rPr>
                      <w:rFonts w:ascii="Times New Roman" w:eastAsia="Times New Roman" w:hAnsi="Times New Roman" w:cs="Times New Roman"/>
                      <w:color w:val="000000"/>
                      <w:sz w:val="24"/>
                      <w:szCs w:val="24"/>
                    </w:rPr>
                  </w:pPr>
                  <w:r w:rsidRPr="00BD2699">
                    <w:rPr>
                      <w:rFonts w:ascii="Times New Roman" w:eastAsia="Times New Roman" w:hAnsi="Times New Roman" w:cs="Times New Roman"/>
                      <w:color w:val="000000"/>
                      <w:spacing w:val="2"/>
                      <w:sz w:val="24"/>
                      <w:szCs w:val="24"/>
                    </w:rPr>
                    <w:t>Инжиниринговые услуги в сфере архитектурной, градостроительной и строительной деятельности (технический надзор, управление проектом)</w:t>
                  </w:r>
                </w:p>
              </w:tc>
            </w:tr>
            <w:tr w:rsidR="00B04764" w:rsidRPr="00BD2699" w14:paraId="6A6FB855" w14:textId="77777777" w:rsidTr="003C00A5">
              <w:trPr>
                <w:trHeight w:val="817"/>
              </w:trPr>
              <w:tc>
                <w:tcPr>
                  <w:tcW w:w="526" w:type="dxa"/>
                  <w:shd w:val="clear" w:color="auto" w:fill="auto"/>
                  <w:tcMar>
                    <w:top w:w="45" w:type="dxa"/>
                    <w:left w:w="75" w:type="dxa"/>
                    <w:bottom w:w="45" w:type="dxa"/>
                    <w:right w:w="75" w:type="dxa"/>
                  </w:tcMar>
                </w:tcPr>
                <w:p w14:paraId="619D0ECA" w14:textId="18DF05A0" w:rsidR="00B04764" w:rsidRPr="00BD2699" w:rsidRDefault="00B04764" w:rsidP="00B04764">
                  <w:pPr>
                    <w:spacing w:after="0" w:line="240" w:lineRule="auto"/>
                    <w:textAlignment w:val="baseline"/>
                    <w:rPr>
                      <w:rFonts w:ascii="Times New Roman" w:eastAsia="Times New Roman" w:hAnsi="Times New Roman" w:cs="Times New Roman"/>
                      <w:color w:val="000000"/>
                      <w:spacing w:val="2"/>
                      <w:sz w:val="24"/>
                      <w:szCs w:val="24"/>
                    </w:rPr>
                  </w:pPr>
                  <w:r w:rsidRPr="00BD2699">
                    <w:rPr>
                      <w:rFonts w:ascii="Times New Roman" w:eastAsia="Times New Roman" w:hAnsi="Times New Roman" w:cs="Times New Roman"/>
                      <w:color w:val="000000"/>
                      <w:spacing w:val="2"/>
                      <w:sz w:val="24"/>
                      <w:szCs w:val="24"/>
                    </w:rPr>
                    <w:t>5.</w:t>
                  </w:r>
                </w:p>
              </w:tc>
              <w:tc>
                <w:tcPr>
                  <w:tcW w:w="4122" w:type="dxa"/>
                  <w:shd w:val="clear" w:color="auto" w:fill="auto"/>
                  <w:tcMar>
                    <w:top w:w="45" w:type="dxa"/>
                    <w:left w:w="75" w:type="dxa"/>
                    <w:bottom w:w="45" w:type="dxa"/>
                    <w:right w:w="75" w:type="dxa"/>
                  </w:tcMar>
                </w:tcPr>
                <w:p w14:paraId="614D3824" w14:textId="248CC3D0" w:rsidR="00B04764" w:rsidRPr="00BD2699" w:rsidRDefault="00B04764" w:rsidP="00B04764">
                  <w:pPr>
                    <w:spacing w:after="0" w:line="240" w:lineRule="auto"/>
                    <w:textAlignment w:val="baseline"/>
                    <w:rPr>
                      <w:rFonts w:ascii="Times New Roman" w:eastAsia="Times New Roman" w:hAnsi="Times New Roman" w:cs="Times New Roman"/>
                      <w:b/>
                      <w:color w:val="000000"/>
                      <w:spacing w:val="2"/>
                      <w:sz w:val="24"/>
                      <w:szCs w:val="24"/>
                    </w:rPr>
                  </w:pPr>
                  <w:r w:rsidRPr="00BD2699">
                    <w:rPr>
                      <w:rFonts w:ascii="Times New Roman" w:eastAsia="Times New Roman" w:hAnsi="Times New Roman" w:cs="Times New Roman"/>
                      <w:b/>
                      <w:color w:val="000000"/>
                      <w:spacing w:val="2"/>
                      <w:sz w:val="24"/>
                      <w:szCs w:val="24"/>
                    </w:rPr>
                    <w:t>Средний ремонт автомобильных дорог</w:t>
                  </w:r>
                </w:p>
              </w:tc>
            </w:tr>
          </w:tbl>
          <w:p w14:paraId="5364D7B9" w14:textId="77777777" w:rsidR="00B04764" w:rsidRPr="00BD2699" w:rsidRDefault="00B04764" w:rsidP="00B04764">
            <w:pPr>
              <w:jc w:val="center"/>
              <w:rPr>
                <w:rFonts w:ascii="Times New Roman" w:eastAsia="Times New Roman" w:hAnsi="Times New Roman" w:cs="Times New Roman"/>
                <w:sz w:val="24"/>
                <w:szCs w:val="24"/>
              </w:rPr>
            </w:pPr>
          </w:p>
        </w:tc>
        <w:tc>
          <w:tcPr>
            <w:tcW w:w="3260" w:type="dxa"/>
            <w:shd w:val="clear" w:color="auto" w:fill="auto"/>
          </w:tcPr>
          <w:p w14:paraId="548DA1A0" w14:textId="77777777" w:rsidR="00B04764" w:rsidRPr="00BD2699" w:rsidRDefault="00B04764" w:rsidP="00B04764">
            <w:pPr>
              <w:ind w:firstLine="317"/>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lastRenderedPageBreak/>
              <w:t>В целях повышения качества работ по среднему ремонту автомобильных дорог, расширения конкурентной среды, а также учитывая установление минимальных пороговых значений демпинга предлагается установить отрицательные значения в качестве критерия, влияющего на конкурсное ценовое предложение при осуществлении государственных закупок по среднему ремонту автомобильных дорог.</w:t>
            </w:r>
          </w:p>
          <w:p w14:paraId="5EB4A773" w14:textId="26D8AE3C" w:rsidR="00B04764" w:rsidRPr="00BD2699" w:rsidRDefault="00B04764" w:rsidP="00B04764">
            <w:pPr>
              <w:ind w:firstLine="317"/>
              <w:jc w:val="both"/>
              <w:rPr>
                <w:rFonts w:ascii="Times New Roman" w:eastAsia="Times New Roman" w:hAnsi="Times New Roman" w:cs="Times New Roman"/>
                <w:b/>
                <w:sz w:val="24"/>
                <w:szCs w:val="24"/>
                <w:lang w:eastAsia="ru-RU"/>
              </w:rPr>
            </w:pPr>
          </w:p>
        </w:tc>
      </w:tr>
      <w:tr w:rsidR="00B04764" w:rsidRPr="00BD2699" w14:paraId="39E50E81" w14:textId="77777777" w:rsidTr="007D6304">
        <w:trPr>
          <w:gridAfter w:val="1"/>
          <w:wAfter w:w="18" w:type="dxa"/>
          <w:trHeight w:val="407"/>
        </w:trPr>
        <w:tc>
          <w:tcPr>
            <w:tcW w:w="605" w:type="dxa"/>
            <w:shd w:val="clear" w:color="auto" w:fill="auto"/>
          </w:tcPr>
          <w:p w14:paraId="54B2DD40"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6CDEB092" w14:textId="42702F7A" w:rsidR="00B04764" w:rsidRPr="00BD2699" w:rsidRDefault="00B04764" w:rsidP="00B04764">
            <w:pPr>
              <w:pStyle w:val="ae"/>
              <w:jc w:val="center"/>
              <w:rPr>
                <w:rFonts w:ascii="Times New Roman" w:hAnsi="Times New Roman"/>
                <w:sz w:val="24"/>
                <w:szCs w:val="24"/>
              </w:rPr>
            </w:pPr>
            <w:r w:rsidRPr="00BD2699">
              <w:rPr>
                <w:rFonts w:ascii="Times New Roman" w:hAnsi="Times New Roman"/>
                <w:sz w:val="24"/>
                <w:szCs w:val="24"/>
              </w:rPr>
              <w:t>Пункт 3.3. Приложения 34 к Правилам</w:t>
            </w:r>
          </w:p>
        </w:tc>
        <w:tc>
          <w:tcPr>
            <w:tcW w:w="4950"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11B36D24" w14:textId="77777777" w:rsidTr="00BD4147">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0C3CC08C"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60B4BB53"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2B6EACFC" w14:textId="0837D360"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7A0689D4"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7B530C54"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p w14:paraId="14BA7E2E" w14:textId="77777777" w:rsidR="00B04764" w:rsidRPr="00BD2699" w:rsidRDefault="00B04764" w:rsidP="00B04764">
            <w:pPr>
              <w:ind w:firstLine="446"/>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t xml:space="preserve">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w:t>
            </w:r>
            <w:r w:rsidRPr="00BD2699">
              <w:rPr>
                <w:rFonts w:ascii="Times New Roman" w:eastAsia="Times New Roman" w:hAnsi="Times New Roman" w:cs="Times New Roman"/>
                <w:b/>
                <w:sz w:val="24"/>
                <w:szCs w:val="24"/>
                <w:lang w:eastAsia="ru-RU"/>
              </w:rPr>
              <w:t>актов выполненных Работ</w:t>
            </w:r>
            <w:r w:rsidRPr="00BD2699">
              <w:rPr>
                <w:rFonts w:ascii="Times New Roman" w:eastAsia="Times New Roman" w:hAnsi="Times New Roman" w:cs="Times New Roman"/>
                <w:sz w:val="24"/>
                <w:szCs w:val="24"/>
                <w:lang w:eastAsia="ru-RU"/>
              </w:rPr>
              <w:t xml:space="preserve">, с учетом пропорционального удержания ранее </w:t>
            </w:r>
            <w:r w:rsidRPr="00BD2699">
              <w:rPr>
                <w:rFonts w:ascii="Times New Roman" w:eastAsia="Times New Roman" w:hAnsi="Times New Roman" w:cs="Times New Roman"/>
                <w:sz w:val="24"/>
                <w:szCs w:val="24"/>
                <w:lang w:eastAsia="ru-RU"/>
              </w:rPr>
              <w:lastRenderedPageBreak/>
              <w:t>оплаченного аванса, а также удержания гарантийного взноса в размере 5 (пять) процентов от суммы Договора, в размере &lt;сумма&gt;.</w:t>
            </w:r>
          </w:p>
          <w:p w14:paraId="49BDD3BA" w14:textId="77777777" w:rsidR="00B04764" w:rsidRPr="00BD2699" w:rsidRDefault="00B04764" w:rsidP="00B04764">
            <w:pPr>
              <w:ind w:firstLine="446"/>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t xml:space="preserve">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w:t>
            </w:r>
            <w:r w:rsidRPr="00BD2699">
              <w:rPr>
                <w:rFonts w:ascii="Times New Roman" w:eastAsia="Times New Roman" w:hAnsi="Times New Roman" w:cs="Times New Roman"/>
                <w:b/>
                <w:sz w:val="24"/>
                <w:szCs w:val="24"/>
                <w:lang w:eastAsia="ru-RU"/>
              </w:rPr>
              <w:t>акта выполненных Работ</w:t>
            </w:r>
            <w:r w:rsidRPr="00BD2699">
              <w:rPr>
                <w:rFonts w:ascii="Times New Roman" w:eastAsia="Times New Roman" w:hAnsi="Times New Roman" w:cs="Times New Roman"/>
                <w:sz w:val="24"/>
                <w:szCs w:val="24"/>
                <w:lang w:eastAsia="ru-RU"/>
              </w:rPr>
              <w:t>.</w:t>
            </w:r>
          </w:p>
          <w:p w14:paraId="156D6C6F" w14:textId="0B725D4F" w:rsidR="00B04764" w:rsidRPr="00BD2699" w:rsidRDefault="00B04764" w:rsidP="00B04764">
            <w:pPr>
              <w:ind w:firstLine="446"/>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447EB999" w14:textId="5C2E0419" w:rsidR="00B04764" w:rsidRPr="00BD2699" w:rsidRDefault="00B04764" w:rsidP="00B04764">
            <w:pPr>
              <w:ind w:firstLine="446"/>
              <w:jc w:val="both"/>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3628C674" w14:textId="066931F7" w:rsidR="00B04764" w:rsidRPr="00BD2699" w:rsidRDefault="00B04764" w:rsidP="00B04764">
            <w:pPr>
              <w:jc w:val="center"/>
              <w:rPr>
                <w:rFonts w:ascii="Times New Roman" w:eastAsia="Times New Roman" w:hAnsi="Times New Roman" w:cs="Times New Roman"/>
                <w:color w:val="000000"/>
                <w:sz w:val="24"/>
                <w:szCs w:val="24"/>
              </w:rPr>
            </w:pPr>
          </w:p>
        </w:tc>
        <w:tc>
          <w:tcPr>
            <w:tcW w:w="5245"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5920822D"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7B99DF82"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lastRenderedPageBreak/>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4F2ECD3E"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518495A5"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666DB7C7"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4CA3032A" w14:textId="5448A200" w:rsidR="00B04764" w:rsidRPr="00BD2699" w:rsidRDefault="00B04764" w:rsidP="00B04764">
            <w:pPr>
              <w:ind w:firstLine="446"/>
              <w:jc w:val="both"/>
              <w:textAlignment w:val="baseline"/>
              <w:rPr>
                <w:rFonts w:ascii="Times New Roman" w:hAnsi="Times New Roman" w:cs="Times New Roman"/>
                <w:spacing w:val="2"/>
                <w:sz w:val="24"/>
                <w:szCs w:val="24"/>
              </w:rPr>
            </w:pPr>
            <w:r w:rsidRPr="00BD2699">
              <w:rPr>
                <w:rFonts w:ascii="Times New Roman" w:hAnsi="Times New Roman" w:cs="Times New Roman"/>
                <w:spacing w:val="2"/>
                <w:sz w:val="24"/>
                <w:szCs w:val="24"/>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p w14:paraId="50E4230C" w14:textId="1A60F20D" w:rsidR="00B04764" w:rsidRPr="00BD2699" w:rsidRDefault="00B04764" w:rsidP="00B04764">
            <w:pPr>
              <w:ind w:firstLine="446"/>
              <w:jc w:val="both"/>
              <w:textAlignment w:val="baseline"/>
              <w:rPr>
                <w:rFonts w:ascii="Times New Roman" w:hAnsi="Times New Roman" w:cs="Times New Roman"/>
                <w:spacing w:val="2"/>
                <w:sz w:val="24"/>
                <w:szCs w:val="24"/>
              </w:rPr>
            </w:pPr>
            <w:r w:rsidRPr="00BD2699">
              <w:rPr>
                <w:rFonts w:ascii="Times New Roman" w:hAnsi="Times New Roman" w:cs="Times New Roman"/>
                <w:spacing w:val="2"/>
                <w:sz w:val="24"/>
                <w:szCs w:val="24"/>
              </w:rPr>
              <w:t xml:space="preserve">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w:t>
            </w:r>
            <w:r w:rsidRPr="00BD2699">
              <w:rPr>
                <w:rFonts w:ascii="Times New Roman" w:hAnsi="Times New Roman" w:cs="Times New Roman"/>
                <w:b/>
                <w:spacing w:val="2"/>
                <w:sz w:val="24"/>
                <w:szCs w:val="24"/>
              </w:rPr>
              <w:t xml:space="preserve">актов выполненных Работ, сформированных и подписанных </w:t>
            </w:r>
            <w:r w:rsidRPr="00BD2699">
              <w:rPr>
                <w:rFonts w:ascii="Times New Roman" w:hAnsi="Times New Roman" w:cs="Times New Roman"/>
                <w:b/>
                <w:spacing w:val="2"/>
                <w:sz w:val="24"/>
                <w:szCs w:val="24"/>
              </w:rPr>
              <w:lastRenderedPageBreak/>
              <w:t xml:space="preserve">посредством электронно-цифровой подписи в информационной системе уполномоченного органа по делам </w:t>
            </w:r>
            <w:r w:rsidRPr="00BD2699">
              <w:rPr>
                <w:rFonts w:ascii="Times New Roman" w:hAnsi="Times New Roman" w:cs="Times New Roman"/>
                <w:b/>
                <w:spacing w:val="2"/>
                <w:sz w:val="24"/>
                <w:szCs w:val="24"/>
                <w:lang w:val="kk-KZ"/>
              </w:rPr>
              <w:t>архитектурной</w:t>
            </w:r>
            <w:r w:rsidRPr="00BD2699">
              <w:rPr>
                <w:rFonts w:ascii="Times New Roman" w:hAnsi="Times New Roman" w:cs="Times New Roman"/>
                <w:b/>
                <w:spacing w:val="2"/>
                <w:sz w:val="24"/>
                <w:szCs w:val="24"/>
              </w:rPr>
              <w:t>,</w:t>
            </w:r>
            <w:r w:rsidRPr="00BD2699">
              <w:rPr>
                <w:rFonts w:ascii="Times New Roman" w:hAnsi="Times New Roman" w:cs="Times New Roman"/>
                <w:b/>
                <w:spacing w:val="2"/>
                <w:sz w:val="24"/>
                <w:szCs w:val="24"/>
                <w:lang w:val="kk-KZ"/>
              </w:rPr>
              <w:t xml:space="preserve"> градостроительной и строительной деятельности Республики Казахстан</w:t>
            </w:r>
            <w:r w:rsidRPr="00BD2699">
              <w:rPr>
                <w:rFonts w:ascii="Times New Roman" w:hAnsi="Times New Roman" w:cs="Times New Roman"/>
                <w:spacing w:val="2"/>
                <w:sz w:val="24"/>
                <w:szCs w:val="24"/>
              </w:rPr>
              <w:t xml:space="preserve">, с учетом пропорционального удержания ранее оплаченного аванса, а также удержания гарантийного взноса в размере </w:t>
            </w:r>
            <w:r w:rsidRPr="00BD2699">
              <w:rPr>
                <w:rFonts w:ascii="Times New Roman" w:hAnsi="Times New Roman" w:cs="Times New Roman"/>
                <w:b/>
                <w:spacing w:val="2"/>
                <w:sz w:val="24"/>
                <w:szCs w:val="24"/>
              </w:rPr>
              <w:t>3 (т</w:t>
            </w:r>
            <w:r w:rsidR="00BD2699">
              <w:rPr>
                <w:rFonts w:ascii="Times New Roman" w:hAnsi="Times New Roman" w:cs="Times New Roman"/>
                <w:b/>
                <w:spacing w:val="2"/>
                <w:sz w:val="24"/>
                <w:szCs w:val="24"/>
              </w:rPr>
              <w:t>рех</w:t>
            </w:r>
            <w:r w:rsidRPr="00BD2699">
              <w:rPr>
                <w:rFonts w:ascii="Times New Roman" w:hAnsi="Times New Roman" w:cs="Times New Roman"/>
                <w:b/>
                <w:spacing w:val="2"/>
                <w:sz w:val="24"/>
                <w:szCs w:val="24"/>
              </w:rPr>
              <w:t>) процентов</w:t>
            </w:r>
            <w:r w:rsidRPr="00BD2699">
              <w:rPr>
                <w:rFonts w:ascii="Times New Roman" w:hAnsi="Times New Roman" w:cs="Times New Roman"/>
                <w:spacing w:val="2"/>
                <w:sz w:val="24"/>
                <w:szCs w:val="24"/>
              </w:rPr>
              <w:t xml:space="preserve"> от суммы Договора, в размере &lt;сумма&gt;.</w:t>
            </w:r>
          </w:p>
          <w:p w14:paraId="623E45FB" w14:textId="34BAFE75" w:rsidR="00B04764" w:rsidRPr="00BD2699" w:rsidRDefault="00B04764" w:rsidP="00B04764">
            <w:pPr>
              <w:ind w:firstLine="446"/>
              <w:jc w:val="both"/>
              <w:textAlignment w:val="baseline"/>
              <w:rPr>
                <w:rFonts w:ascii="Times New Roman" w:eastAsia="Times New Roman" w:hAnsi="Times New Roman" w:cs="Times New Roman"/>
                <w:sz w:val="24"/>
                <w:szCs w:val="24"/>
                <w:lang w:eastAsia="ru-RU"/>
              </w:rPr>
            </w:pPr>
            <w:r w:rsidRPr="00BD2699">
              <w:rPr>
                <w:rFonts w:ascii="Times New Roman" w:hAnsi="Times New Roman" w:cs="Times New Roman"/>
                <w:spacing w:val="2"/>
                <w:sz w:val="24"/>
                <w:szCs w:val="24"/>
              </w:rPr>
              <w:t>Оплата за выполненные Работы производится Заказчиком</w:t>
            </w:r>
            <w:r w:rsidRPr="00BD2699">
              <w:rPr>
                <w:rFonts w:ascii="Times New Roman" w:eastAsia="Times New Roman" w:hAnsi="Times New Roman" w:cs="Times New Roman"/>
                <w:sz w:val="24"/>
                <w:szCs w:val="24"/>
                <w:lang w:eastAsia="ru-RU"/>
              </w:rPr>
              <w:t xml:space="preserve"> путем перечисления денежных средств на расчетный счет Подрядчика &lt;условие оплаты&gt; не позднее 30 (тридцати) календарных дней с даты подписания Сторонами </w:t>
            </w:r>
            <w:r w:rsidRPr="00BD2699">
              <w:rPr>
                <w:rFonts w:ascii="Times New Roman" w:eastAsia="Times New Roman" w:hAnsi="Times New Roman" w:cs="Times New Roman"/>
                <w:b/>
                <w:sz w:val="24"/>
                <w:szCs w:val="24"/>
                <w:lang w:eastAsia="ru-RU"/>
              </w:rPr>
              <w:t xml:space="preserve">акта выполненных Работ, сформированного и подписанного </w:t>
            </w:r>
            <w:proofErr w:type="gramStart"/>
            <w:r w:rsidRPr="00BD2699">
              <w:rPr>
                <w:rFonts w:ascii="Times New Roman" w:eastAsia="Times New Roman" w:hAnsi="Times New Roman" w:cs="Times New Roman"/>
                <w:b/>
                <w:sz w:val="24"/>
                <w:szCs w:val="24"/>
                <w:lang w:eastAsia="ru-RU"/>
              </w:rPr>
              <w:t xml:space="preserve">посредством </w:t>
            </w:r>
            <w:r w:rsidRPr="00BD2699">
              <w:t xml:space="preserve"> </w:t>
            </w:r>
            <w:r w:rsidRPr="00BD2699">
              <w:rPr>
                <w:rFonts w:ascii="Times New Roman" w:eastAsia="Times New Roman" w:hAnsi="Times New Roman" w:cs="Times New Roman"/>
                <w:b/>
                <w:sz w:val="24"/>
                <w:szCs w:val="24"/>
                <w:lang w:eastAsia="ru-RU"/>
              </w:rPr>
              <w:t>электронно</w:t>
            </w:r>
            <w:proofErr w:type="gramEnd"/>
            <w:r w:rsidRPr="00BD2699">
              <w:rPr>
                <w:rFonts w:ascii="Times New Roman" w:eastAsia="Times New Roman" w:hAnsi="Times New Roman" w:cs="Times New Roman"/>
                <w:b/>
                <w:sz w:val="24"/>
                <w:szCs w:val="24"/>
                <w:lang w:eastAsia="ru-RU"/>
              </w:rPr>
              <w:t xml:space="preserve">-цифровой подписи в информационной системе уполномоченного органа </w:t>
            </w:r>
            <w:r w:rsidRPr="00BD2699">
              <w:rPr>
                <w:rFonts w:ascii="Times New Roman" w:hAnsi="Times New Roman" w:cs="Times New Roman"/>
                <w:b/>
                <w:spacing w:val="2"/>
                <w:sz w:val="24"/>
                <w:szCs w:val="24"/>
              </w:rPr>
              <w:t xml:space="preserve">по делам </w:t>
            </w:r>
            <w:r w:rsidRPr="00BD2699">
              <w:rPr>
                <w:rFonts w:ascii="Times New Roman" w:hAnsi="Times New Roman" w:cs="Times New Roman"/>
                <w:b/>
                <w:spacing w:val="2"/>
                <w:sz w:val="24"/>
                <w:szCs w:val="24"/>
                <w:lang w:val="kk-KZ"/>
              </w:rPr>
              <w:t>архитектурной</w:t>
            </w:r>
            <w:r w:rsidRPr="00BD2699">
              <w:rPr>
                <w:rFonts w:ascii="Times New Roman" w:hAnsi="Times New Roman" w:cs="Times New Roman"/>
                <w:b/>
                <w:spacing w:val="2"/>
                <w:sz w:val="24"/>
                <w:szCs w:val="24"/>
              </w:rPr>
              <w:t>,</w:t>
            </w:r>
            <w:r w:rsidRPr="00BD2699">
              <w:rPr>
                <w:rFonts w:ascii="Times New Roman" w:hAnsi="Times New Roman" w:cs="Times New Roman"/>
                <w:b/>
                <w:spacing w:val="2"/>
                <w:sz w:val="24"/>
                <w:szCs w:val="24"/>
                <w:lang w:val="kk-KZ"/>
              </w:rPr>
              <w:t xml:space="preserve"> градостроительной и строительной деятельности Республики Казахстан</w:t>
            </w:r>
            <w:r w:rsidRPr="00BD2699">
              <w:rPr>
                <w:rFonts w:ascii="Times New Roman" w:eastAsia="Times New Roman" w:hAnsi="Times New Roman" w:cs="Times New Roman"/>
                <w:sz w:val="24"/>
                <w:szCs w:val="24"/>
                <w:lang w:eastAsia="ru-RU"/>
              </w:rPr>
              <w:t>.</w:t>
            </w:r>
          </w:p>
          <w:p w14:paraId="603B774A" w14:textId="041E063A" w:rsidR="00B04764" w:rsidRPr="00BD2699" w:rsidRDefault="00B04764" w:rsidP="00B04764">
            <w:pPr>
              <w:ind w:firstLine="446"/>
              <w:jc w:val="both"/>
              <w:textAlignment w:val="baseline"/>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t xml:space="preserve">В случае выполнения Работ в рамках одного финансового года Заказчик оплачивает Подрядчику оставшиеся </w:t>
            </w:r>
            <w:r w:rsidR="00BD2699" w:rsidRPr="00BD2699">
              <w:rPr>
                <w:rFonts w:ascii="Times New Roman" w:hAnsi="Times New Roman" w:cs="Times New Roman"/>
                <w:b/>
                <w:spacing w:val="2"/>
                <w:sz w:val="24"/>
                <w:szCs w:val="24"/>
              </w:rPr>
              <w:t>3 (т</w:t>
            </w:r>
            <w:r w:rsidR="00786BD4">
              <w:rPr>
                <w:rFonts w:ascii="Times New Roman" w:hAnsi="Times New Roman" w:cs="Times New Roman"/>
                <w:b/>
                <w:spacing w:val="2"/>
                <w:sz w:val="24"/>
                <w:szCs w:val="24"/>
              </w:rPr>
              <w:t>ри</w:t>
            </w:r>
            <w:r w:rsidR="00BD2699" w:rsidRPr="00BD2699">
              <w:rPr>
                <w:rFonts w:ascii="Times New Roman" w:hAnsi="Times New Roman" w:cs="Times New Roman"/>
                <w:b/>
                <w:spacing w:val="2"/>
                <w:sz w:val="24"/>
                <w:szCs w:val="24"/>
              </w:rPr>
              <w:t>) процент</w:t>
            </w:r>
            <w:r w:rsidR="00786BD4">
              <w:rPr>
                <w:rFonts w:ascii="Times New Roman" w:hAnsi="Times New Roman" w:cs="Times New Roman"/>
                <w:b/>
                <w:spacing w:val="2"/>
                <w:sz w:val="24"/>
                <w:szCs w:val="24"/>
              </w:rPr>
              <w:t>а</w:t>
            </w:r>
            <w:r w:rsidRPr="00BD2699">
              <w:rPr>
                <w:rFonts w:ascii="Times New Roman" w:eastAsia="Times New Roman" w:hAnsi="Times New Roman" w:cs="Times New Roman"/>
                <w:sz w:val="24"/>
                <w:szCs w:val="24"/>
                <w:lang w:eastAsia="ru-RU"/>
              </w:rPr>
              <w:t xml:space="preserve">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7B98785D" w14:textId="602F27E7" w:rsidR="00B04764" w:rsidRPr="00BD2699" w:rsidRDefault="00B04764" w:rsidP="00B04764">
            <w:pPr>
              <w:ind w:firstLine="446"/>
              <w:jc w:val="both"/>
              <w:textAlignment w:val="baseline"/>
              <w:rPr>
                <w:rFonts w:ascii="Times New Roman" w:eastAsia="Times New Roman" w:hAnsi="Times New Roman" w:cs="Times New Roman"/>
                <w:sz w:val="24"/>
                <w:szCs w:val="24"/>
                <w:lang w:eastAsia="ru-RU"/>
              </w:rPr>
            </w:pPr>
            <w:r w:rsidRPr="00BD2699">
              <w:rPr>
                <w:rFonts w:ascii="Times New Roman" w:eastAsia="Times New Roman" w:hAnsi="Times New Roman" w:cs="Times New Roman"/>
                <w:sz w:val="24"/>
                <w:szCs w:val="24"/>
                <w:lang w:eastAsia="ru-RU"/>
              </w:rPr>
              <w:t xml:space="preserve">В случае если срок выполнения Работ со сроком свыше одного финансового года, Заказчик оплачивает Подрядчику оставшиеся </w:t>
            </w:r>
            <w:r w:rsidR="00BD2699" w:rsidRPr="00BD2699">
              <w:rPr>
                <w:rFonts w:ascii="Times New Roman" w:eastAsia="Times New Roman" w:hAnsi="Times New Roman" w:cs="Times New Roman"/>
                <w:b/>
                <w:sz w:val="24"/>
                <w:szCs w:val="24"/>
                <w:lang w:eastAsia="ru-RU"/>
              </w:rPr>
              <w:t>3 (три) процента</w:t>
            </w:r>
            <w:r w:rsidRPr="00BD2699">
              <w:rPr>
                <w:rFonts w:ascii="Times New Roman" w:eastAsia="Times New Roman" w:hAnsi="Times New Roman" w:cs="Times New Roman"/>
                <w:sz w:val="24"/>
                <w:szCs w:val="24"/>
                <w:lang w:eastAsia="ru-RU"/>
              </w:rPr>
              <w:t xml:space="preserve"> от суммы Договора в размере </w:t>
            </w:r>
            <w:r w:rsidRPr="00BD2699">
              <w:rPr>
                <w:rFonts w:ascii="Times New Roman" w:eastAsia="Times New Roman" w:hAnsi="Times New Roman" w:cs="Times New Roman"/>
                <w:sz w:val="24"/>
                <w:szCs w:val="24"/>
                <w:lang w:eastAsia="ru-RU"/>
              </w:rPr>
              <w:lastRenderedPageBreak/>
              <w:t>&lt;сумма&gt;,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55521BE4" w14:textId="32C99CFE" w:rsidR="00B04764" w:rsidRPr="00BD2699" w:rsidRDefault="00B04764" w:rsidP="00B04764">
            <w:pPr>
              <w:jc w:val="both"/>
              <w:rPr>
                <w:rFonts w:ascii="Times New Roman" w:eastAsia="Times New Roman" w:hAnsi="Times New Roman" w:cs="Times New Roman"/>
                <w:color w:val="000000"/>
                <w:sz w:val="24"/>
                <w:szCs w:val="24"/>
              </w:rPr>
            </w:pPr>
          </w:p>
        </w:tc>
        <w:tc>
          <w:tcPr>
            <w:tcW w:w="3260" w:type="dxa"/>
            <w:shd w:val="clear" w:color="auto" w:fill="auto"/>
          </w:tcPr>
          <w:p w14:paraId="471B1F28" w14:textId="2AA11FBA" w:rsidR="00B04764" w:rsidRPr="00BD2699" w:rsidRDefault="00B04764" w:rsidP="00B04764">
            <w:pPr>
              <w:ind w:firstLine="317"/>
              <w:jc w:val="both"/>
              <w:rPr>
                <w:rFonts w:ascii="Times New Roman" w:hAnsi="Times New Roman" w:cs="Times New Roman"/>
                <w:sz w:val="24"/>
                <w:szCs w:val="32"/>
              </w:rPr>
            </w:pPr>
            <w:r w:rsidRPr="00BD2699">
              <w:rPr>
                <w:rFonts w:ascii="Times New Roman" w:hAnsi="Times New Roman" w:cs="Times New Roman"/>
                <w:sz w:val="24"/>
                <w:szCs w:val="32"/>
              </w:rPr>
              <w:lastRenderedPageBreak/>
              <w:t xml:space="preserve">В соответствии с предложениями КДС ЖКХ МИИР РК, в целях масштабного использования информационной системы </w:t>
            </w:r>
            <w:proofErr w:type="spellStart"/>
            <w:r w:rsidRPr="00BD2699">
              <w:rPr>
                <w:rFonts w:ascii="Times New Roman" w:hAnsi="Times New Roman" w:cs="Times New Roman"/>
                <w:sz w:val="24"/>
                <w:szCs w:val="32"/>
              </w:rPr>
              <w:t>eQurylys</w:t>
            </w:r>
            <w:proofErr w:type="spellEnd"/>
            <w:r w:rsidRPr="00BD2699">
              <w:rPr>
                <w:rFonts w:ascii="Times New Roman" w:hAnsi="Times New Roman" w:cs="Times New Roman"/>
                <w:sz w:val="24"/>
                <w:szCs w:val="32"/>
              </w:rPr>
              <w:t xml:space="preserve"> и исключения оплаты невыполненных работ, предлагается подписание актов выполненных работ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03528E01" w14:textId="2ABD0DEB" w:rsidR="00B04764" w:rsidRPr="00BD2699" w:rsidRDefault="00B04764" w:rsidP="00B04764">
            <w:pPr>
              <w:ind w:firstLine="446"/>
              <w:jc w:val="both"/>
              <w:rPr>
                <w:rFonts w:ascii="Times New Roman" w:eastAsia="Times New Roman" w:hAnsi="Times New Roman" w:cs="Times New Roman"/>
                <w:sz w:val="24"/>
                <w:szCs w:val="24"/>
                <w:lang w:eastAsia="ru-RU"/>
              </w:rPr>
            </w:pPr>
            <w:r w:rsidRPr="00BD2699">
              <w:rPr>
                <w:rFonts w:ascii="Times New Roman" w:hAnsi="Times New Roman" w:cs="Times New Roman"/>
                <w:spacing w:val="2"/>
                <w:sz w:val="24"/>
                <w:szCs w:val="24"/>
              </w:rPr>
              <w:t xml:space="preserve">Внесение изменении в части гарантийного удержания взноса от суммы договора на три процента при закупках работ СМР </w:t>
            </w:r>
            <w:r w:rsidRPr="00BD2699">
              <w:rPr>
                <w:rFonts w:ascii="Times New Roman" w:hAnsi="Times New Roman" w:cs="Times New Roman"/>
                <w:spacing w:val="2"/>
                <w:sz w:val="24"/>
                <w:szCs w:val="24"/>
              </w:rPr>
              <w:lastRenderedPageBreak/>
              <w:t xml:space="preserve">вносятся </w:t>
            </w:r>
            <w:r w:rsidRPr="00BD2699">
              <w:rPr>
                <w:rFonts w:ascii="Times New Roman" w:eastAsia="Times New Roman" w:hAnsi="Times New Roman" w:cs="Times New Roman"/>
                <w:sz w:val="24"/>
                <w:szCs w:val="24"/>
                <w:lang w:eastAsia="ru-RU"/>
              </w:rPr>
              <w:t>согласно предложениям НПП «</w:t>
            </w:r>
            <w:proofErr w:type="spellStart"/>
            <w:r w:rsidRPr="00BD2699">
              <w:rPr>
                <w:rFonts w:ascii="Times New Roman" w:eastAsia="Times New Roman" w:hAnsi="Times New Roman" w:cs="Times New Roman"/>
                <w:sz w:val="24"/>
                <w:szCs w:val="24"/>
                <w:lang w:eastAsia="ru-RU"/>
              </w:rPr>
              <w:t>Атамекен</w:t>
            </w:r>
            <w:proofErr w:type="spellEnd"/>
            <w:r w:rsidRPr="00BD2699">
              <w:rPr>
                <w:rFonts w:ascii="Times New Roman" w:eastAsia="Times New Roman" w:hAnsi="Times New Roman" w:cs="Times New Roman"/>
                <w:sz w:val="24"/>
                <w:szCs w:val="24"/>
                <w:lang w:eastAsia="ru-RU"/>
              </w:rPr>
              <w:t xml:space="preserve">» с учетом позиции уполномоченных органов Комитета по делам строительства и жилищно-коммунального хозяйства МИИР РК и Комитета автомобильных дорог МИИР РК. </w:t>
            </w:r>
          </w:p>
          <w:p w14:paraId="4A04EC2B" w14:textId="43FFCAFD" w:rsidR="00B04764" w:rsidRPr="00BD2699" w:rsidRDefault="00B04764" w:rsidP="00B04764">
            <w:pPr>
              <w:ind w:firstLine="317"/>
              <w:jc w:val="both"/>
              <w:rPr>
                <w:rFonts w:ascii="Times New Roman" w:eastAsia="Times New Roman" w:hAnsi="Times New Roman" w:cs="Times New Roman"/>
                <w:sz w:val="24"/>
                <w:szCs w:val="24"/>
                <w:lang w:eastAsia="ru-RU"/>
              </w:rPr>
            </w:pPr>
          </w:p>
        </w:tc>
      </w:tr>
      <w:tr w:rsidR="00B04764" w:rsidRPr="00BD2699" w14:paraId="3CBFF772" w14:textId="77777777" w:rsidTr="007D6304">
        <w:trPr>
          <w:gridAfter w:val="1"/>
          <w:wAfter w:w="18" w:type="dxa"/>
          <w:trHeight w:val="407"/>
        </w:trPr>
        <w:tc>
          <w:tcPr>
            <w:tcW w:w="605" w:type="dxa"/>
            <w:shd w:val="clear" w:color="auto" w:fill="auto"/>
          </w:tcPr>
          <w:p w14:paraId="103143E9"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4D070BC0" w14:textId="039651AE" w:rsidR="00B04764" w:rsidRPr="00BD2699" w:rsidRDefault="00B04764" w:rsidP="00B04764">
            <w:pPr>
              <w:pStyle w:val="ae"/>
              <w:jc w:val="center"/>
              <w:rPr>
                <w:rFonts w:ascii="Times New Roman" w:hAnsi="Times New Roman"/>
                <w:sz w:val="24"/>
                <w:szCs w:val="24"/>
              </w:rPr>
            </w:pPr>
            <w:r w:rsidRPr="00BD2699">
              <w:rPr>
                <w:rFonts w:ascii="Times New Roman" w:hAnsi="Times New Roman"/>
                <w:sz w:val="24"/>
                <w:szCs w:val="24"/>
              </w:rPr>
              <w:t>Пункт 3.3. Приложения 34 к Правилам</w:t>
            </w:r>
          </w:p>
        </w:tc>
        <w:tc>
          <w:tcPr>
            <w:tcW w:w="4950"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3CBD3CD7"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26D10BC5"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42D3C764"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51952583"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622C9AEF"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5135B385" w14:textId="6A9E9E52"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sz w:val="24"/>
              </w:rPr>
              <w:t>3.5. Необходимые документы, предшествующие оплате:</w:t>
            </w:r>
          </w:p>
          <w:p w14:paraId="1434C8DD"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1) &lt;зарегистрированный в территориальном органе казначейства/подписанный&gt; Договор;</w:t>
            </w:r>
          </w:p>
          <w:p w14:paraId="480A8E11"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w:t>
            </w:r>
            <w:r w:rsidRPr="00BD2699">
              <w:rPr>
                <w:rFonts w:ascii="Times New Roman" w:hAnsi="Times New Roman"/>
                <w:b/>
                <w:sz w:val="24"/>
              </w:rPr>
              <w:t>2) акт(ы) выполненных работ</w:t>
            </w:r>
            <w:r w:rsidRPr="00BD2699">
              <w:rPr>
                <w:rFonts w:ascii="Times New Roman" w:hAnsi="Times New Roman"/>
                <w:sz w:val="24"/>
              </w:rPr>
              <w:t>;</w:t>
            </w:r>
          </w:p>
          <w:p w14:paraId="57F8FC77"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3) отчет о местном содержании в работах и услугах, по форме согласно приложению 45 к правилам осуществления государственных закупок;</w:t>
            </w:r>
          </w:p>
          <w:p w14:paraId="05FA365A"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4) электронная счет-фактура с описанием, указанием общей суммы выполненных работ, представленная Подрядчиком Заказчику;</w:t>
            </w:r>
          </w:p>
          <w:p w14:paraId="6B03DB5B"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5) платежный сертификат, по форме согласно приложению 115-1 к Правилам исполнения бюджета и его кассового обслуживания, утвержденным приказом Министра финансов Республики Казахстан от 4 декабря 2014 года № 540 (зарегистрирован в Реестре государственной регистрации </w:t>
            </w:r>
            <w:r w:rsidRPr="00BD2699">
              <w:rPr>
                <w:rFonts w:ascii="Times New Roman" w:hAnsi="Times New Roman"/>
                <w:sz w:val="24"/>
              </w:rPr>
              <w:lastRenderedPageBreak/>
              <w:t>нормативных правовых актов под № 9934) (далее - Правила исполнения бюджета и его кассового обслуживания).</w:t>
            </w:r>
          </w:p>
          <w:p w14:paraId="225A90E1" w14:textId="7FD2B979" w:rsidR="00B04764" w:rsidRPr="00BD2699" w:rsidRDefault="00B04764" w:rsidP="00B04764">
            <w:pPr>
              <w:jc w:val="both"/>
              <w:rPr>
                <w:rFonts w:ascii="Times New Roman" w:eastAsia="Times New Roman" w:hAnsi="Times New Roman" w:cs="Times New Roman"/>
                <w:sz w:val="24"/>
                <w:szCs w:val="24"/>
                <w:lang w:eastAsia="ru-RU"/>
              </w:rPr>
            </w:pPr>
            <w:r w:rsidRPr="00BD2699">
              <w:rPr>
                <w:rFonts w:ascii="Times New Roman" w:hAnsi="Times New Roman" w:cs="Times New Roman"/>
                <w:sz w:val="24"/>
              </w:rPr>
              <w:t>Подпункт 5)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tc>
        <w:tc>
          <w:tcPr>
            <w:tcW w:w="5245"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2D73E373"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082FD10F"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lastRenderedPageBreak/>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51E972B1"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03E1C7D2"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7D289B79"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3AF0F379" w14:textId="7D353469"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sz w:val="24"/>
              </w:rPr>
              <w:t>3.5. Необходимые документы, предшествующие оплате:</w:t>
            </w:r>
          </w:p>
          <w:p w14:paraId="48B93F0D"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1) &lt;зарегистрированный в территориальном органе казначейства/подписанный&gt; Договор;</w:t>
            </w:r>
          </w:p>
          <w:p w14:paraId="05B4A440" w14:textId="2FC634ED"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w:t>
            </w:r>
            <w:r w:rsidRPr="00BD2699">
              <w:rPr>
                <w:rFonts w:ascii="Times New Roman" w:hAnsi="Times New Roman"/>
                <w:b/>
                <w:sz w:val="24"/>
              </w:rPr>
              <w:t xml:space="preserve">2) акт(ы) выполненных работ, </w:t>
            </w:r>
            <w:r w:rsidRPr="00BD2699">
              <w:rPr>
                <w:rFonts w:ascii="Times New Roman" w:eastAsia="Times New Roman" w:hAnsi="Times New Roman"/>
                <w:b/>
                <w:sz w:val="24"/>
                <w:szCs w:val="24"/>
                <w:lang w:eastAsia="ru-RU"/>
              </w:rPr>
              <w:t xml:space="preserve">сформированные и подписанные посредством электронно-цифровой подписи в информационной системе уполномоченного органа </w:t>
            </w:r>
            <w:r w:rsidRPr="00BD2699">
              <w:rPr>
                <w:rFonts w:ascii="Times New Roman" w:hAnsi="Times New Roman"/>
                <w:b/>
                <w:spacing w:val="2"/>
                <w:sz w:val="24"/>
                <w:szCs w:val="24"/>
              </w:rPr>
              <w:t xml:space="preserve">по делам </w:t>
            </w:r>
            <w:r w:rsidRPr="00BD2699">
              <w:rPr>
                <w:rFonts w:ascii="Times New Roman" w:hAnsi="Times New Roman"/>
                <w:b/>
                <w:spacing w:val="2"/>
                <w:sz w:val="24"/>
                <w:szCs w:val="24"/>
                <w:lang w:val="kk-KZ"/>
              </w:rPr>
              <w:t>архитектурной</w:t>
            </w:r>
            <w:r w:rsidRPr="00BD2699">
              <w:rPr>
                <w:rFonts w:ascii="Times New Roman" w:hAnsi="Times New Roman"/>
                <w:b/>
                <w:spacing w:val="2"/>
                <w:sz w:val="24"/>
                <w:szCs w:val="24"/>
              </w:rPr>
              <w:t>,</w:t>
            </w:r>
            <w:r w:rsidRPr="00BD2699">
              <w:rPr>
                <w:rFonts w:ascii="Times New Roman" w:hAnsi="Times New Roman"/>
                <w:b/>
                <w:spacing w:val="2"/>
                <w:sz w:val="24"/>
                <w:szCs w:val="24"/>
                <w:lang w:val="kk-KZ"/>
              </w:rPr>
              <w:t xml:space="preserve"> градостроительной и строительной деятельности Республики Казахстан</w:t>
            </w:r>
            <w:r w:rsidRPr="00BD2699">
              <w:rPr>
                <w:rFonts w:ascii="Times New Roman" w:hAnsi="Times New Roman"/>
                <w:sz w:val="24"/>
              </w:rPr>
              <w:t>;</w:t>
            </w:r>
          </w:p>
          <w:p w14:paraId="7E0DEC82"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3) отчет о местном содержании в работах и услугах, по форме согласно приложению 45 к правилам осуществления государственных закупок;</w:t>
            </w:r>
          </w:p>
          <w:p w14:paraId="77373F71"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4) электронная счет-фактура с описанием, указанием общей суммы выполненных работ, представленная Подрядчиком Заказчику;</w:t>
            </w:r>
          </w:p>
          <w:p w14:paraId="1D89DAF2" w14:textId="120F01ED"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5) платежный сертификат, по</w:t>
            </w:r>
            <w:r w:rsidR="00BD2699">
              <w:rPr>
                <w:rFonts w:ascii="Times New Roman" w:hAnsi="Times New Roman"/>
                <w:sz w:val="24"/>
              </w:rPr>
              <w:t xml:space="preserve"> форме согласно приложению </w:t>
            </w:r>
            <w:r w:rsidR="00BD2699" w:rsidRPr="00BD2699">
              <w:rPr>
                <w:rFonts w:ascii="Times New Roman" w:hAnsi="Times New Roman"/>
                <w:b/>
                <w:sz w:val="24"/>
              </w:rPr>
              <w:t>115-3</w:t>
            </w:r>
            <w:r w:rsidRPr="00BD2699">
              <w:rPr>
                <w:rFonts w:ascii="Times New Roman" w:hAnsi="Times New Roman"/>
                <w:sz w:val="24"/>
              </w:rPr>
              <w:t xml:space="preserve"> к Правилам исполнения </w:t>
            </w:r>
            <w:r w:rsidRPr="00BD2699">
              <w:rPr>
                <w:rFonts w:ascii="Times New Roman" w:hAnsi="Times New Roman"/>
                <w:sz w:val="24"/>
              </w:rPr>
              <w:lastRenderedPageBreak/>
              <w:t>бюджета и его кассового обслуживания, утвержденным приказом Министра финансов Республики Казахстан от 4 декабря 2014 года № 540 (зарегистрирован в Реестре государственной регистрации нормативных правовых актов под № 9934) (далее - Правила исполнения бюджета и его кассового обслуживания).</w:t>
            </w:r>
          </w:p>
          <w:p w14:paraId="6BA70750" w14:textId="77777777" w:rsidR="00B04764" w:rsidRPr="00BD2699" w:rsidRDefault="00B04764" w:rsidP="00B04764">
            <w:pPr>
              <w:pStyle w:val="ae"/>
              <w:tabs>
                <w:tab w:val="left" w:pos="211"/>
              </w:tabs>
              <w:jc w:val="both"/>
              <w:rPr>
                <w:rFonts w:ascii="Times New Roman" w:hAnsi="Times New Roman"/>
                <w:sz w:val="24"/>
              </w:rPr>
            </w:pPr>
            <w:r w:rsidRPr="00BD2699">
              <w:rPr>
                <w:rFonts w:ascii="Times New Roman" w:hAnsi="Times New Roman"/>
                <w:sz w:val="24"/>
              </w:rPr>
              <w:t xml:space="preserve">      Подпункт 5)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p w14:paraId="0774D033" w14:textId="4FB19B7E" w:rsidR="00B04764" w:rsidRPr="00BD2699" w:rsidRDefault="00B04764" w:rsidP="00B04764">
            <w:pPr>
              <w:pStyle w:val="ae"/>
              <w:tabs>
                <w:tab w:val="left" w:pos="211"/>
              </w:tabs>
              <w:jc w:val="both"/>
              <w:rPr>
                <w:rFonts w:ascii="Times New Roman" w:eastAsia="Times New Roman" w:hAnsi="Times New Roman"/>
                <w:sz w:val="24"/>
                <w:szCs w:val="24"/>
                <w:lang w:eastAsia="ru-RU"/>
              </w:rPr>
            </w:pPr>
          </w:p>
        </w:tc>
        <w:tc>
          <w:tcPr>
            <w:tcW w:w="3260" w:type="dxa"/>
            <w:shd w:val="clear" w:color="auto" w:fill="auto"/>
          </w:tcPr>
          <w:p w14:paraId="366B8EFB" w14:textId="1B857271" w:rsidR="00B04764" w:rsidRDefault="00B04764" w:rsidP="00B04764">
            <w:pPr>
              <w:ind w:firstLine="317"/>
              <w:jc w:val="both"/>
              <w:rPr>
                <w:rFonts w:ascii="Times New Roman" w:hAnsi="Times New Roman" w:cs="Times New Roman"/>
                <w:sz w:val="24"/>
                <w:szCs w:val="32"/>
              </w:rPr>
            </w:pPr>
            <w:r w:rsidRPr="00BD2699">
              <w:rPr>
                <w:rFonts w:ascii="Times New Roman" w:hAnsi="Times New Roman" w:cs="Times New Roman"/>
                <w:sz w:val="24"/>
                <w:szCs w:val="32"/>
              </w:rPr>
              <w:lastRenderedPageBreak/>
              <w:t xml:space="preserve">В соответствии с предложениями КДС ЖКХ МИИР РК, в целях масштабного использования информационной системы </w:t>
            </w:r>
            <w:proofErr w:type="spellStart"/>
            <w:r w:rsidRPr="00BD2699">
              <w:rPr>
                <w:rFonts w:ascii="Times New Roman" w:hAnsi="Times New Roman" w:cs="Times New Roman"/>
                <w:sz w:val="24"/>
                <w:szCs w:val="32"/>
              </w:rPr>
              <w:t>eQurylys</w:t>
            </w:r>
            <w:proofErr w:type="spellEnd"/>
            <w:r w:rsidRPr="00BD2699">
              <w:rPr>
                <w:rFonts w:ascii="Times New Roman" w:hAnsi="Times New Roman" w:cs="Times New Roman"/>
                <w:sz w:val="24"/>
                <w:szCs w:val="32"/>
              </w:rPr>
              <w:t xml:space="preserve"> и исключения оплаты невыполненных работ, предлагается подписание актов выполненных работ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5D256C6A" w14:textId="77777777" w:rsidR="00BD2699" w:rsidRPr="00E5794D" w:rsidRDefault="00BD2699" w:rsidP="00BD2699">
            <w:pPr>
              <w:ind w:firstLine="430"/>
              <w:jc w:val="both"/>
              <w:rPr>
                <w:rFonts w:ascii="Times New Roman" w:eastAsia="Times New Roman" w:hAnsi="Times New Roman" w:cs="Times New Roman"/>
                <w:sz w:val="24"/>
                <w:szCs w:val="24"/>
                <w:lang w:eastAsia="ru-RU"/>
              </w:rPr>
            </w:pPr>
            <w:r w:rsidRPr="00E5794D">
              <w:rPr>
                <w:rFonts w:ascii="Times New Roman" w:eastAsia="Times New Roman" w:hAnsi="Times New Roman" w:cs="Times New Roman"/>
                <w:sz w:val="24"/>
                <w:szCs w:val="24"/>
                <w:lang w:eastAsia="ru-RU"/>
              </w:rPr>
              <w:t>Приведение в соответствие.</w:t>
            </w:r>
          </w:p>
          <w:p w14:paraId="698413B8" w14:textId="7FBD1856" w:rsidR="00BD2699" w:rsidRPr="00BD2699" w:rsidRDefault="00BD2699" w:rsidP="00BD2699">
            <w:pPr>
              <w:ind w:firstLine="317"/>
              <w:jc w:val="both"/>
              <w:rPr>
                <w:rFonts w:ascii="Times New Roman" w:hAnsi="Times New Roman" w:cs="Times New Roman"/>
                <w:sz w:val="24"/>
                <w:szCs w:val="32"/>
              </w:rPr>
            </w:pPr>
            <w:r w:rsidRPr="00E5794D">
              <w:rPr>
                <w:rFonts w:ascii="Times New Roman" w:eastAsia="Times New Roman" w:hAnsi="Times New Roman" w:cs="Times New Roman"/>
                <w:sz w:val="24"/>
                <w:szCs w:val="24"/>
                <w:lang w:eastAsia="ru-RU"/>
              </w:rPr>
              <w:t xml:space="preserve">Приказом Заместителя Премьер-Министра - Министра финансов Республики Казахстан от 20 февраля 2023 года №189 внесены изменения в Правил исполнения бюджета и его кассового обслуживания </w:t>
            </w:r>
            <w:r w:rsidRPr="00E5794D">
              <w:rPr>
                <w:rFonts w:ascii="Times New Roman" w:eastAsia="Times New Roman" w:hAnsi="Times New Roman" w:cs="Times New Roman"/>
                <w:i/>
                <w:szCs w:val="24"/>
                <w:lang w:eastAsia="ru-RU"/>
              </w:rPr>
              <w:t xml:space="preserve">(утв. приказом Министра финансов от 4 декабря 2014 </w:t>
            </w:r>
            <w:r w:rsidRPr="00E5794D">
              <w:rPr>
                <w:rFonts w:ascii="Times New Roman" w:eastAsia="Times New Roman" w:hAnsi="Times New Roman" w:cs="Times New Roman"/>
                <w:i/>
                <w:szCs w:val="24"/>
                <w:lang w:eastAsia="ru-RU"/>
              </w:rPr>
              <w:lastRenderedPageBreak/>
              <w:t>года № 540)</w:t>
            </w:r>
            <w:r w:rsidRPr="00E5794D">
              <w:rPr>
                <w:rFonts w:ascii="Times New Roman" w:eastAsia="Times New Roman" w:hAnsi="Times New Roman" w:cs="Times New Roman"/>
                <w:szCs w:val="24"/>
                <w:lang w:eastAsia="ru-RU"/>
              </w:rPr>
              <w:t xml:space="preserve"> </w:t>
            </w:r>
            <w:r w:rsidRPr="00E5794D">
              <w:rPr>
                <w:rFonts w:ascii="Times New Roman" w:eastAsia="Times New Roman" w:hAnsi="Times New Roman" w:cs="Times New Roman"/>
                <w:sz w:val="24"/>
                <w:szCs w:val="24"/>
                <w:lang w:eastAsia="ru-RU"/>
              </w:rPr>
              <w:t>в части исключения формы 115-1 и дополнения формы 115-3.</w:t>
            </w:r>
          </w:p>
          <w:p w14:paraId="2763DA71" w14:textId="745ED690" w:rsidR="00B04764" w:rsidRPr="00BD2699" w:rsidRDefault="00B04764" w:rsidP="00B04764">
            <w:pPr>
              <w:ind w:firstLine="317"/>
              <w:jc w:val="both"/>
              <w:rPr>
                <w:rFonts w:ascii="Times New Roman" w:hAnsi="Times New Roman" w:cs="Times New Roman"/>
                <w:sz w:val="24"/>
                <w:szCs w:val="32"/>
              </w:rPr>
            </w:pPr>
          </w:p>
        </w:tc>
      </w:tr>
      <w:tr w:rsidR="00B04764" w:rsidRPr="00BD2699" w14:paraId="600DBA47" w14:textId="77777777" w:rsidTr="007D6304">
        <w:trPr>
          <w:gridAfter w:val="1"/>
          <w:wAfter w:w="18" w:type="dxa"/>
          <w:trHeight w:val="407"/>
        </w:trPr>
        <w:tc>
          <w:tcPr>
            <w:tcW w:w="605" w:type="dxa"/>
            <w:shd w:val="clear" w:color="auto" w:fill="auto"/>
          </w:tcPr>
          <w:p w14:paraId="5CFE7355"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289B6729" w14:textId="3D5F0220" w:rsidR="00B04764" w:rsidRPr="00BD2699" w:rsidRDefault="00B04764" w:rsidP="00B04764">
            <w:pPr>
              <w:pStyle w:val="ae"/>
              <w:jc w:val="center"/>
              <w:rPr>
                <w:rFonts w:ascii="Times New Roman" w:hAnsi="Times New Roman"/>
                <w:sz w:val="24"/>
                <w:szCs w:val="24"/>
              </w:rPr>
            </w:pPr>
            <w:r w:rsidRPr="00BD2699">
              <w:rPr>
                <w:rFonts w:ascii="Times New Roman" w:hAnsi="Times New Roman"/>
                <w:sz w:val="24"/>
                <w:szCs w:val="24"/>
              </w:rPr>
              <w:t>Подпункт 9) пункта 4.1. Приложения 34 к Правилам</w:t>
            </w:r>
          </w:p>
        </w:tc>
        <w:tc>
          <w:tcPr>
            <w:tcW w:w="4950"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5BC63009"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3CE296F6"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5D2DACD9"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3C4CEA08"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1BD424F5"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6F678D9F"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4.1. Подрядчик обязуется:</w:t>
            </w:r>
          </w:p>
          <w:p w14:paraId="54603914" w14:textId="17E33E2C"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w:t>
            </w:r>
          </w:p>
          <w:p w14:paraId="79342AC3"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 xml:space="preserve">9) оформить и направить Заказчику посредством веб-портала </w:t>
            </w:r>
            <w:r w:rsidRPr="00BD2699">
              <w:rPr>
                <w:rFonts w:ascii="Times New Roman" w:hAnsi="Times New Roman"/>
                <w:b/>
                <w:sz w:val="24"/>
              </w:rPr>
              <w:t>утвержденный электронно-цифровой подписью акт выполненных работ</w:t>
            </w:r>
            <w:r w:rsidRPr="00BD2699">
              <w:rPr>
                <w:rFonts w:ascii="Times New Roman" w:hAnsi="Times New Roman"/>
                <w:sz w:val="24"/>
              </w:rPr>
              <w:t>, а также отчет о местном содержании в работах по форме согласно приложению 45 к правилам осуществления государственных закупок;</w:t>
            </w:r>
          </w:p>
          <w:p w14:paraId="6CD15D38" w14:textId="505C7527" w:rsidR="00B04764" w:rsidRPr="00BD2699" w:rsidRDefault="00B04764" w:rsidP="00B04764">
            <w:pPr>
              <w:ind w:firstLine="446"/>
              <w:jc w:val="both"/>
              <w:rPr>
                <w:rFonts w:ascii="Times New Roman" w:hAnsi="Times New Roman"/>
                <w:sz w:val="24"/>
                <w:szCs w:val="24"/>
              </w:rPr>
            </w:pPr>
            <w:r w:rsidRPr="00BD2699">
              <w:rPr>
                <w:rFonts w:ascii="Times New Roman" w:hAnsi="Times New Roman"/>
                <w:sz w:val="24"/>
              </w:rPr>
              <w:t xml:space="preserve"> </w:t>
            </w:r>
          </w:p>
        </w:tc>
        <w:tc>
          <w:tcPr>
            <w:tcW w:w="5245"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51863B81"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2353663F"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25A59BAE"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5D52378E"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362A1828"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07ED7AA5"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4.1. Подрядчик обязуется:</w:t>
            </w:r>
          </w:p>
          <w:p w14:paraId="4936D123"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w:t>
            </w:r>
          </w:p>
          <w:p w14:paraId="6056BBE1" w14:textId="2812ACCF"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 xml:space="preserve">9) оформить и направить Заказчику посредством веб-портала </w:t>
            </w:r>
            <w:r w:rsidRPr="00BD2699">
              <w:rPr>
                <w:rFonts w:ascii="Times New Roman" w:hAnsi="Times New Roman"/>
                <w:b/>
                <w:sz w:val="24"/>
              </w:rPr>
              <w:t>утвержденный электронно-цифровой подписью акт выполненных работ,</w:t>
            </w:r>
            <w:r w:rsidRPr="00BD2699">
              <w:rPr>
                <w:b/>
              </w:rPr>
              <w:t xml:space="preserve"> </w:t>
            </w:r>
            <w:r w:rsidRPr="00BD2699">
              <w:rPr>
                <w:rFonts w:ascii="Times New Roman" w:hAnsi="Times New Roman"/>
                <w:b/>
                <w:sz w:val="24"/>
              </w:rPr>
              <w:t xml:space="preserve">сформированный в </w:t>
            </w:r>
            <w:r w:rsidRPr="00BD2699">
              <w:rPr>
                <w:rFonts w:ascii="Times New Roman" w:eastAsia="Times New Roman" w:hAnsi="Times New Roman"/>
                <w:b/>
                <w:sz w:val="24"/>
                <w:szCs w:val="24"/>
                <w:lang w:eastAsia="ru-RU"/>
              </w:rPr>
              <w:t xml:space="preserve">информационной системе уполномоченного органа </w:t>
            </w:r>
            <w:r w:rsidRPr="00BD2699">
              <w:rPr>
                <w:rFonts w:ascii="Times New Roman" w:hAnsi="Times New Roman"/>
                <w:b/>
                <w:spacing w:val="2"/>
                <w:sz w:val="24"/>
                <w:szCs w:val="24"/>
              </w:rPr>
              <w:t xml:space="preserve">по делам </w:t>
            </w:r>
            <w:r w:rsidRPr="00BD2699">
              <w:rPr>
                <w:rFonts w:ascii="Times New Roman" w:hAnsi="Times New Roman"/>
                <w:b/>
                <w:spacing w:val="2"/>
                <w:sz w:val="24"/>
                <w:szCs w:val="24"/>
                <w:lang w:val="kk-KZ"/>
              </w:rPr>
              <w:t>архитектурной</w:t>
            </w:r>
            <w:r w:rsidRPr="00BD2699">
              <w:rPr>
                <w:rFonts w:ascii="Times New Roman" w:hAnsi="Times New Roman"/>
                <w:b/>
                <w:spacing w:val="2"/>
                <w:sz w:val="24"/>
                <w:szCs w:val="24"/>
              </w:rPr>
              <w:t>,</w:t>
            </w:r>
            <w:r w:rsidRPr="00BD2699">
              <w:rPr>
                <w:rFonts w:ascii="Times New Roman" w:hAnsi="Times New Roman"/>
                <w:b/>
                <w:spacing w:val="2"/>
                <w:sz w:val="24"/>
                <w:szCs w:val="24"/>
                <w:lang w:val="kk-KZ"/>
              </w:rPr>
              <w:t xml:space="preserve"> градостроительной и строительной деятельности Республики Казахстан</w:t>
            </w:r>
            <w:r w:rsidRPr="00BD2699">
              <w:rPr>
                <w:rFonts w:ascii="Times New Roman" w:hAnsi="Times New Roman"/>
                <w:sz w:val="24"/>
              </w:rPr>
              <w:t>, а также отчет о местном содержании в работах по форме согласно приложению 45 к правилам осуществления государственных закупок;</w:t>
            </w:r>
          </w:p>
          <w:p w14:paraId="36F21891" w14:textId="48F8F815" w:rsidR="00B04764" w:rsidRPr="00BD2699" w:rsidRDefault="00B04764" w:rsidP="00B04764">
            <w:pPr>
              <w:pStyle w:val="ae"/>
              <w:tabs>
                <w:tab w:val="left" w:pos="211"/>
              </w:tabs>
              <w:jc w:val="both"/>
              <w:rPr>
                <w:rFonts w:ascii="Times New Roman" w:hAnsi="Times New Roman"/>
                <w:sz w:val="24"/>
              </w:rPr>
            </w:pPr>
          </w:p>
        </w:tc>
        <w:tc>
          <w:tcPr>
            <w:tcW w:w="3260" w:type="dxa"/>
            <w:shd w:val="clear" w:color="auto" w:fill="auto"/>
          </w:tcPr>
          <w:p w14:paraId="10CF6647" w14:textId="6711BA68" w:rsidR="00B04764" w:rsidRPr="00BD2699" w:rsidRDefault="00B04764" w:rsidP="00B04764">
            <w:pPr>
              <w:ind w:firstLine="317"/>
              <w:jc w:val="both"/>
              <w:rPr>
                <w:rFonts w:ascii="Times New Roman" w:hAnsi="Times New Roman" w:cs="Times New Roman"/>
                <w:sz w:val="24"/>
                <w:szCs w:val="32"/>
              </w:rPr>
            </w:pPr>
            <w:r w:rsidRPr="00BD2699">
              <w:rPr>
                <w:rFonts w:ascii="Times New Roman" w:hAnsi="Times New Roman" w:cs="Times New Roman"/>
                <w:sz w:val="24"/>
                <w:szCs w:val="32"/>
              </w:rPr>
              <w:t xml:space="preserve">В соответствии с предложениями КДС ЖКХ МИИР РК, в целях масштабного использования информационной системы </w:t>
            </w:r>
            <w:proofErr w:type="spellStart"/>
            <w:r w:rsidRPr="00BD2699">
              <w:rPr>
                <w:rFonts w:ascii="Times New Roman" w:hAnsi="Times New Roman" w:cs="Times New Roman"/>
                <w:sz w:val="24"/>
                <w:szCs w:val="32"/>
              </w:rPr>
              <w:t>eQurylys</w:t>
            </w:r>
            <w:proofErr w:type="spellEnd"/>
            <w:r w:rsidRPr="00BD2699">
              <w:rPr>
                <w:rFonts w:ascii="Times New Roman" w:hAnsi="Times New Roman" w:cs="Times New Roman"/>
                <w:sz w:val="24"/>
                <w:szCs w:val="32"/>
              </w:rPr>
              <w:t xml:space="preserve"> и исключения оплаты невыполненных работ, предлагается подписание актов выполненных работ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00A549D2" w14:textId="5A051A50" w:rsidR="00B04764" w:rsidRPr="00BD2699" w:rsidRDefault="00B04764" w:rsidP="00B04764">
            <w:pPr>
              <w:pStyle w:val="ae"/>
              <w:tabs>
                <w:tab w:val="left" w:pos="211"/>
              </w:tabs>
              <w:jc w:val="both"/>
              <w:rPr>
                <w:rFonts w:ascii="Times New Roman" w:hAnsi="Times New Roman"/>
                <w:sz w:val="24"/>
              </w:rPr>
            </w:pPr>
          </w:p>
        </w:tc>
      </w:tr>
      <w:tr w:rsidR="00B04764" w:rsidRPr="00BD2699" w14:paraId="0365889D" w14:textId="77777777" w:rsidTr="007D6304">
        <w:trPr>
          <w:gridAfter w:val="1"/>
          <w:wAfter w:w="18" w:type="dxa"/>
          <w:trHeight w:val="407"/>
        </w:trPr>
        <w:tc>
          <w:tcPr>
            <w:tcW w:w="605" w:type="dxa"/>
            <w:shd w:val="clear" w:color="auto" w:fill="auto"/>
          </w:tcPr>
          <w:p w14:paraId="003E0DA1"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679D7715" w14:textId="3EA0892D" w:rsidR="00B04764" w:rsidRPr="00BD2699" w:rsidRDefault="00B04764" w:rsidP="00B04764">
            <w:pPr>
              <w:pStyle w:val="ae"/>
              <w:jc w:val="center"/>
              <w:rPr>
                <w:rFonts w:ascii="Times New Roman" w:hAnsi="Times New Roman"/>
                <w:sz w:val="24"/>
                <w:szCs w:val="24"/>
              </w:rPr>
            </w:pPr>
            <w:r w:rsidRPr="00BD2699">
              <w:rPr>
                <w:rFonts w:ascii="Times New Roman" w:hAnsi="Times New Roman"/>
                <w:sz w:val="24"/>
                <w:szCs w:val="24"/>
              </w:rPr>
              <w:t>Подпункт 10) пункта 4.1. Приложения 34 к Правилам</w:t>
            </w:r>
          </w:p>
        </w:tc>
        <w:tc>
          <w:tcPr>
            <w:tcW w:w="4950"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17D9E92E"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622A9D1A"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1DD3516B"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4EE74931"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19EFB60B"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1C278449"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4.1. Подрядчик обязуется:</w:t>
            </w:r>
          </w:p>
          <w:p w14:paraId="330AB884"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w:t>
            </w:r>
          </w:p>
          <w:p w14:paraId="1EEE572B" w14:textId="00824BC9" w:rsidR="00B04764" w:rsidRPr="00BD2699" w:rsidRDefault="00B04764" w:rsidP="00B04764">
            <w:pPr>
              <w:ind w:firstLine="446"/>
              <w:jc w:val="both"/>
              <w:rPr>
                <w:rFonts w:ascii="Times New Roman" w:eastAsia="Times New Roman" w:hAnsi="Times New Roman" w:cs="Times New Roman"/>
                <w:color w:val="000000"/>
                <w:sz w:val="24"/>
                <w:szCs w:val="24"/>
                <w:lang w:eastAsia="ru-RU"/>
              </w:rPr>
            </w:pPr>
            <w:r w:rsidRPr="00BD2699">
              <w:rPr>
                <w:rFonts w:ascii="Times New Roman" w:hAnsi="Times New Roman"/>
                <w:sz w:val="24"/>
              </w:rPr>
              <w:t xml:space="preserve">10) после утверждения Заказчиком </w:t>
            </w:r>
            <w:r w:rsidRPr="00BD2699">
              <w:rPr>
                <w:rFonts w:ascii="Times New Roman" w:hAnsi="Times New Roman"/>
                <w:b/>
                <w:sz w:val="24"/>
              </w:rPr>
              <w:t>акта выполненных работ</w:t>
            </w:r>
            <w:r w:rsidRPr="00BD2699">
              <w:rPr>
                <w:rFonts w:ascii="Times New Roman" w:hAnsi="Times New Roman"/>
                <w:sz w:val="24"/>
              </w:rPr>
              <w:t xml:space="preserve">,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 </w:t>
            </w:r>
          </w:p>
        </w:tc>
        <w:tc>
          <w:tcPr>
            <w:tcW w:w="5245"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31795D8D"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332F1D07"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1806B30E"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540FE8D7"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01646843"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040071E3"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4.1. Подрядчик обязуется:</w:t>
            </w:r>
          </w:p>
          <w:p w14:paraId="17B6AFC2"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w:t>
            </w:r>
          </w:p>
          <w:p w14:paraId="0A6C6ACD" w14:textId="59C6D440"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 xml:space="preserve">10) после утверждения Заказчиком </w:t>
            </w:r>
            <w:r w:rsidRPr="00BD2699">
              <w:rPr>
                <w:rFonts w:ascii="Times New Roman" w:hAnsi="Times New Roman"/>
                <w:b/>
                <w:sz w:val="24"/>
              </w:rPr>
              <w:t>акта выполненных работ</w:t>
            </w:r>
            <w:r w:rsidRPr="00BD2699">
              <w:rPr>
                <w:b/>
              </w:rPr>
              <w:t xml:space="preserve"> </w:t>
            </w:r>
            <w:r w:rsidRPr="00BD2699">
              <w:rPr>
                <w:rFonts w:ascii="Times New Roman" w:hAnsi="Times New Roman"/>
                <w:b/>
                <w:sz w:val="24"/>
              </w:rPr>
              <w:t>сформированного</w:t>
            </w:r>
            <w:r w:rsidRPr="00BD2699">
              <w:rPr>
                <w:rFonts w:ascii="Times New Roman" w:eastAsia="Times New Roman" w:hAnsi="Times New Roman"/>
                <w:b/>
                <w:sz w:val="24"/>
                <w:szCs w:val="24"/>
                <w:lang w:eastAsia="ru-RU"/>
              </w:rPr>
              <w:t xml:space="preserve"> и подписанного посредством электронно-цифровой подписи в информационной системе уполномоченного органа </w:t>
            </w:r>
            <w:r w:rsidRPr="00BD2699">
              <w:rPr>
                <w:rFonts w:ascii="Times New Roman" w:hAnsi="Times New Roman"/>
                <w:b/>
                <w:spacing w:val="2"/>
                <w:sz w:val="24"/>
                <w:szCs w:val="24"/>
              </w:rPr>
              <w:t xml:space="preserve">по делам </w:t>
            </w:r>
            <w:r w:rsidRPr="00BD2699">
              <w:rPr>
                <w:rFonts w:ascii="Times New Roman" w:hAnsi="Times New Roman"/>
                <w:b/>
                <w:spacing w:val="2"/>
                <w:sz w:val="24"/>
                <w:szCs w:val="24"/>
                <w:lang w:val="kk-KZ"/>
              </w:rPr>
              <w:t>архитектурной</w:t>
            </w:r>
            <w:r w:rsidRPr="00BD2699">
              <w:rPr>
                <w:rFonts w:ascii="Times New Roman" w:hAnsi="Times New Roman"/>
                <w:b/>
                <w:spacing w:val="2"/>
                <w:sz w:val="24"/>
                <w:szCs w:val="24"/>
              </w:rPr>
              <w:t>,</w:t>
            </w:r>
            <w:r w:rsidRPr="00BD2699">
              <w:rPr>
                <w:rFonts w:ascii="Times New Roman" w:hAnsi="Times New Roman"/>
                <w:b/>
                <w:spacing w:val="2"/>
                <w:sz w:val="24"/>
                <w:szCs w:val="24"/>
                <w:lang w:val="kk-KZ"/>
              </w:rPr>
              <w:t xml:space="preserve"> градостроительной и строительной деятельности Республики Казахстан</w:t>
            </w:r>
            <w:r w:rsidRPr="00BD2699">
              <w:rPr>
                <w:rFonts w:ascii="Times New Roman" w:hAnsi="Times New Roman"/>
                <w:sz w:val="24"/>
              </w:rPr>
              <w:t>,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3892DC1F" w14:textId="77777777" w:rsidR="00B04764" w:rsidRPr="00BD2699" w:rsidRDefault="00B04764" w:rsidP="00B04764">
            <w:pPr>
              <w:pStyle w:val="ae"/>
              <w:tabs>
                <w:tab w:val="left" w:pos="211"/>
              </w:tabs>
              <w:jc w:val="both"/>
              <w:rPr>
                <w:rFonts w:ascii="Times New Roman" w:hAnsi="Times New Roman"/>
                <w:sz w:val="24"/>
              </w:rPr>
            </w:pPr>
          </w:p>
        </w:tc>
        <w:tc>
          <w:tcPr>
            <w:tcW w:w="3260" w:type="dxa"/>
            <w:shd w:val="clear" w:color="auto" w:fill="auto"/>
          </w:tcPr>
          <w:p w14:paraId="7C49ECBF" w14:textId="3FB3ED11" w:rsidR="00B04764" w:rsidRPr="00BD2699" w:rsidRDefault="00B04764" w:rsidP="00B04764">
            <w:pPr>
              <w:ind w:firstLine="317"/>
              <w:jc w:val="both"/>
              <w:rPr>
                <w:rFonts w:ascii="Times New Roman" w:hAnsi="Times New Roman" w:cs="Times New Roman"/>
                <w:sz w:val="24"/>
                <w:szCs w:val="32"/>
              </w:rPr>
            </w:pPr>
            <w:r w:rsidRPr="00BD2699">
              <w:rPr>
                <w:rFonts w:ascii="Times New Roman" w:hAnsi="Times New Roman" w:cs="Times New Roman"/>
                <w:sz w:val="24"/>
                <w:szCs w:val="32"/>
              </w:rPr>
              <w:t xml:space="preserve">В соответствии с предложениями КДС ЖКХ МИИР РК, в целях масштабного использования информационной системы </w:t>
            </w:r>
            <w:proofErr w:type="spellStart"/>
            <w:r w:rsidRPr="00BD2699">
              <w:rPr>
                <w:rFonts w:ascii="Times New Roman" w:hAnsi="Times New Roman" w:cs="Times New Roman"/>
                <w:sz w:val="24"/>
                <w:szCs w:val="32"/>
              </w:rPr>
              <w:t>eQurylys</w:t>
            </w:r>
            <w:proofErr w:type="spellEnd"/>
            <w:r w:rsidRPr="00BD2699">
              <w:rPr>
                <w:rFonts w:ascii="Times New Roman" w:hAnsi="Times New Roman" w:cs="Times New Roman"/>
                <w:sz w:val="24"/>
                <w:szCs w:val="32"/>
              </w:rPr>
              <w:t xml:space="preserve"> и исключения оплаты невыполненных работ, предлагается подписание актов выполненных работ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75136062" w14:textId="77777777" w:rsidR="00B04764" w:rsidRPr="00BD2699" w:rsidRDefault="00B04764" w:rsidP="00B04764">
            <w:pPr>
              <w:ind w:firstLine="317"/>
              <w:jc w:val="both"/>
              <w:rPr>
                <w:rFonts w:ascii="Times New Roman" w:hAnsi="Times New Roman" w:cs="Times New Roman"/>
                <w:sz w:val="24"/>
                <w:szCs w:val="32"/>
              </w:rPr>
            </w:pPr>
          </w:p>
        </w:tc>
      </w:tr>
      <w:tr w:rsidR="00B04764" w:rsidRPr="00BD2699" w14:paraId="75265630" w14:textId="77777777" w:rsidTr="007D6304">
        <w:trPr>
          <w:gridAfter w:val="1"/>
          <w:wAfter w:w="18" w:type="dxa"/>
          <w:trHeight w:val="407"/>
        </w:trPr>
        <w:tc>
          <w:tcPr>
            <w:tcW w:w="605" w:type="dxa"/>
            <w:shd w:val="clear" w:color="auto" w:fill="auto"/>
          </w:tcPr>
          <w:p w14:paraId="425E98F4"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421EAC72" w14:textId="4831CE83" w:rsidR="00B04764" w:rsidRPr="00BD2699" w:rsidRDefault="00B04764" w:rsidP="00B04764">
            <w:pPr>
              <w:pStyle w:val="ae"/>
              <w:jc w:val="center"/>
              <w:rPr>
                <w:rFonts w:ascii="Times New Roman" w:hAnsi="Times New Roman"/>
                <w:sz w:val="24"/>
                <w:szCs w:val="24"/>
              </w:rPr>
            </w:pPr>
            <w:r w:rsidRPr="00BD2699">
              <w:rPr>
                <w:rFonts w:ascii="Times New Roman" w:hAnsi="Times New Roman"/>
                <w:sz w:val="24"/>
                <w:szCs w:val="24"/>
              </w:rPr>
              <w:t>Подпункт 4) пункта 4.3. Приложения 34 к Правилам</w:t>
            </w:r>
          </w:p>
        </w:tc>
        <w:tc>
          <w:tcPr>
            <w:tcW w:w="4950"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08396867"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22433AF4"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1D66EF04"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10EC3DC1"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188FAF01"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0C89489C" w14:textId="05EF6FCD"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4.3. Заказчик обязуется:</w:t>
            </w:r>
          </w:p>
          <w:p w14:paraId="77EBB71E"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w:t>
            </w:r>
          </w:p>
          <w:p w14:paraId="72D0AE82"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lastRenderedPageBreak/>
              <w:t xml:space="preserve">4) при приемке Работ утвердить посредством веб-портала </w:t>
            </w:r>
            <w:r w:rsidRPr="00BD2699">
              <w:rPr>
                <w:rFonts w:ascii="Times New Roman" w:hAnsi="Times New Roman"/>
                <w:b/>
                <w:sz w:val="24"/>
              </w:rPr>
              <w:t>акт выполненных работ</w:t>
            </w:r>
            <w:r w:rsidRPr="00BD2699">
              <w:rPr>
                <w:rFonts w:ascii="Times New Roman" w:hAnsi="Times New Roman"/>
                <w:sz w:val="24"/>
              </w:rPr>
              <w:t xml:space="preserve"> либо отказать в принятии работ с указанием аргументированных обоснований ее непринятия в сроки, установленные пунктом 546 Правил осуществления государственных закупок;</w:t>
            </w:r>
          </w:p>
          <w:p w14:paraId="2DCA6928" w14:textId="3279A742" w:rsidR="00B04764" w:rsidRPr="00BD2699" w:rsidRDefault="00B04764" w:rsidP="00B04764">
            <w:pPr>
              <w:ind w:firstLine="446"/>
              <w:jc w:val="both"/>
              <w:rPr>
                <w:rFonts w:ascii="Times New Roman" w:hAnsi="Times New Roman"/>
                <w:sz w:val="24"/>
              </w:rPr>
            </w:pPr>
          </w:p>
        </w:tc>
        <w:tc>
          <w:tcPr>
            <w:tcW w:w="5245"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6F2256B2"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50A899D5"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lastRenderedPageBreak/>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1364CE19"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1D434A0F"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397CE509"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076B5DF8"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4.3. Заказчик обязуется:</w:t>
            </w:r>
          </w:p>
          <w:p w14:paraId="37B63894"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w:t>
            </w:r>
          </w:p>
          <w:p w14:paraId="4E773430"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lastRenderedPageBreak/>
              <w:t xml:space="preserve">4) при приемке Работ утвердить </w:t>
            </w:r>
            <w:r w:rsidRPr="00BD2699">
              <w:rPr>
                <w:rFonts w:ascii="Times New Roman" w:hAnsi="Times New Roman"/>
                <w:b/>
                <w:sz w:val="24"/>
              </w:rPr>
              <w:t>акт выполненных работ,</w:t>
            </w:r>
            <w:r w:rsidRPr="00BD2699">
              <w:rPr>
                <w:b/>
              </w:rPr>
              <w:t xml:space="preserve"> </w:t>
            </w:r>
            <w:r w:rsidRPr="00BD2699">
              <w:rPr>
                <w:rFonts w:ascii="Times New Roman" w:hAnsi="Times New Roman"/>
                <w:b/>
                <w:sz w:val="24"/>
              </w:rPr>
              <w:t xml:space="preserve">сформированный и подписанный посредством электронно-цифровой подписи в </w:t>
            </w:r>
            <w:r w:rsidRPr="00BD2699">
              <w:rPr>
                <w:rFonts w:ascii="Times New Roman" w:eastAsia="Times New Roman" w:hAnsi="Times New Roman"/>
                <w:b/>
                <w:sz w:val="24"/>
                <w:szCs w:val="24"/>
                <w:lang w:eastAsia="ru-RU"/>
              </w:rPr>
              <w:t xml:space="preserve">информационной системе уполномоченного органа </w:t>
            </w:r>
            <w:r w:rsidRPr="00BD2699">
              <w:rPr>
                <w:rFonts w:ascii="Times New Roman" w:hAnsi="Times New Roman"/>
                <w:b/>
                <w:spacing w:val="2"/>
                <w:sz w:val="24"/>
                <w:szCs w:val="24"/>
              </w:rPr>
              <w:t xml:space="preserve">по делам </w:t>
            </w:r>
            <w:r w:rsidRPr="00BD2699">
              <w:rPr>
                <w:rFonts w:ascii="Times New Roman" w:hAnsi="Times New Roman"/>
                <w:b/>
                <w:spacing w:val="2"/>
                <w:sz w:val="24"/>
                <w:szCs w:val="24"/>
                <w:lang w:val="kk-KZ"/>
              </w:rPr>
              <w:t>архитектурной</w:t>
            </w:r>
            <w:r w:rsidRPr="00BD2699">
              <w:rPr>
                <w:rFonts w:ascii="Times New Roman" w:hAnsi="Times New Roman"/>
                <w:b/>
                <w:spacing w:val="2"/>
                <w:sz w:val="24"/>
                <w:szCs w:val="24"/>
              </w:rPr>
              <w:t>,</w:t>
            </w:r>
            <w:r w:rsidRPr="00BD2699">
              <w:rPr>
                <w:rFonts w:ascii="Times New Roman" w:hAnsi="Times New Roman"/>
                <w:b/>
                <w:spacing w:val="2"/>
                <w:sz w:val="24"/>
                <w:szCs w:val="24"/>
                <w:lang w:val="kk-KZ"/>
              </w:rPr>
              <w:t xml:space="preserve"> градостроительной и строительной деятельности Республики Казахстан</w:t>
            </w:r>
            <w:r w:rsidRPr="00BD2699">
              <w:rPr>
                <w:rFonts w:ascii="Times New Roman" w:hAnsi="Times New Roman"/>
                <w:b/>
                <w:sz w:val="24"/>
              </w:rPr>
              <w:t>,</w:t>
            </w:r>
            <w:r w:rsidRPr="00BD2699">
              <w:rPr>
                <w:rFonts w:ascii="Times New Roman" w:hAnsi="Times New Roman"/>
                <w:sz w:val="24"/>
              </w:rPr>
              <w:t xml:space="preserve"> либо отказать в принятии работ с указанием аргументированных обоснований ее непринятия в сроки, установленные пунктом 546 Правил осуществления государственных закупок;</w:t>
            </w:r>
          </w:p>
          <w:p w14:paraId="4930F1E8" w14:textId="2D71B77C" w:rsidR="00B04764" w:rsidRPr="00BD2699" w:rsidRDefault="00B04764" w:rsidP="00B04764">
            <w:pPr>
              <w:ind w:firstLine="446"/>
              <w:jc w:val="both"/>
              <w:rPr>
                <w:rFonts w:ascii="Times New Roman" w:hAnsi="Times New Roman"/>
                <w:sz w:val="24"/>
              </w:rPr>
            </w:pPr>
          </w:p>
        </w:tc>
        <w:tc>
          <w:tcPr>
            <w:tcW w:w="3260" w:type="dxa"/>
            <w:shd w:val="clear" w:color="auto" w:fill="auto"/>
          </w:tcPr>
          <w:p w14:paraId="27F178C2" w14:textId="4BC0847B" w:rsidR="00B04764" w:rsidRPr="00BD2699" w:rsidRDefault="00B04764" w:rsidP="00B04764">
            <w:pPr>
              <w:ind w:firstLine="317"/>
              <w:jc w:val="both"/>
              <w:rPr>
                <w:rFonts w:ascii="Times New Roman" w:hAnsi="Times New Roman" w:cs="Times New Roman"/>
                <w:sz w:val="24"/>
                <w:szCs w:val="32"/>
              </w:rPr>
            </w:pPr>
            <w:r w:rsidRPr="00BD2699">
              <w:rPr>
                <w:rFonts w:ascii="Times New Roman" w:hAnsi="Times New Roman" w:cs="Times New Roman"/>
                <w:sz w:val="24"/>
                <w:szCs w:val="32"/>
              </w:rPr>
              <w:lastRenderedPageBreak/>
              <w:t xml:space="preserve">В соответствии с предложениями КДС ЖКХ МИИР РК, в целях масштабного использования информационной системы </w:t>
            </w:r>
            <w:proofErr w:type="spellStart"/>
            <w:r w:rsidRPr="00BD2699">
              <w:rPr>
                <w:rFonts w:ascii="Times New Roman" w:hAnsi="Times New Roman" w:cs="Times New Roman"/>
                <w:sz w:val="24"/>
                <w:szCs w:val="32"/>
              </w:rPr>
              <w:t>eQurylys</w:t>
            </w:r>
            <w:proofErr w:type="spellEnd"/>
            <w:r w:rsidRPr="00BD2699">
              <w:rPr>
                <w:rFonts w:ascii="Times New Roman" w:hAnsi="Times New Roman" w:cs="Times New Roman"/>
                <w:sz w:val="24"/>
                <w:szCs w:val="32"/>
              </w:rPr>
              <w:t xml:space="preserve"> и исключения оплаты невыполненных работ, предлагается подписание актов выполненных работ в информационной системе </w:t>
            </w:r>
            <w:r w:rsidRPr="00BD2699">
              <w:rPr>
                <w:rFonts w:ascii="Times New Roman" w:hAnsi="Times New Roman" w:cs="Times New Roman"/>
                <w:sz w:val="24"/>
                <w:szCs w:val="32"/>
              </w:rPr>
              <w:lastRenderedPageBreak/>
              <w:t>уполномоченного органа по делам архитектурной, градостроительной и строительной деятельности Республики Казахстан.</w:t>
            </w:r>
          </w:p>
          <w:p w14:paraId="75BD2AF8" w14:textId="623369F3" w:rsidR="00B04764" w:rsidRPr="00BD2699" w:rsidRDefault="00B04764" w:rsidP="00B04764">
            <w:pPr>
              <w:pStyle w:val="ae"/>
              <w:tabs>
                <w:tab w:val="left" w:pos="211"/>
              </w:tabs>
              <w:jc w:val="both"/>
              <w:rPr>
                <w:rFonts w:ascii="Times New Roman" w:hAnsi="Times New Roman"/>
                <w:sz w:val="24"/>
                <w:szCs w:val="32"/>
              </w:rPr>
            </w:pPr>
          </w:p>
        </w:tc>
      </w:tr>
      <w:tr w:rsidR="00B04764" w:rsidRPr="00BD2699" w14:paraId="4C1E1EFE" w14:textId="77777777" w:rsidTr="007D6304">
        <w:trPr>
          <w:gridAfter w:val="1"/>
          <w:wAfter w:w="18" w:type="dxa"/>
          <w:trHeight w:val="407"/>
        </w:trPr>
        <w:tc>
          <w:tcPr>
            <w:tcW w:w="605" w:type="dxa"/>
            <w:shd w:val="clear" w:color="auto" w:fill="auto"/>
          </w:tcPr>
          <w:p w14:paraId="2B6FACE6"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7648C646" w14:textId="4C8EBC0A" w:rsidR="00B04764" w:rsidRPr="00BD2699" w:rsidRDefault="00B04764" w:rsidP="00B04764">
            <w:pPr>
              <w:pStyle w:val="ae"/>
              <w:jc w:val="center"/>
              <w:rPr>
                <w:rFonts w:ascii="Times New Roman" w:hAnsi="Times New Roman"/>
                <w:sz w:val="24"/>
                <w:szCs w:val="24"/>
              </w:rPr>
            </w:pPr>
            <w:r w:rsidRPr="00BD2699">
              <w:rPr>
                <w:rFonts w:ascii="Times New Roman" w:hAnsi="Times New Roman"/>
                <w:sz w:val="24"/>
                <w:szCs w:val="24"/>
              </w:rPr>
              <w:t>Подпункт 5) пункта 4.3. Приложения 34 к Правилам</w:t>
            </w:r>
          </w:p>
        </w:tc>
        <w:tc>
          <w:tcPr>
            <w:tcW w:w="4950"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11B385C9"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481611BE"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2F2028BE"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7FC7C7C1"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2E4722F0"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7A141359"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4.3. Заказчик обязуется:</w:t>
            </w:r>
          </w:p>
          <w:p w14:paraId="6F372614"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w:t>
            </w:r>
          </w:p>
          <w:p w14:paraId="32C74A7B"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 xml:space="preserve">5) после утверждения </w:t>
            </w:r>
            <w:r w:rsidRPr="00BD2699">
              <w:rPr>
                <w:rFonts w:ascii="Times New Roman" w:hAnsi="Times New Roman"/>
                <w:b/>
                <w:sz w:val="24"/>
              </w:rPr>
              <w:t>акта выполненных работ</w:t>
            </w:r>
            <w:r w:rsidRPr="00BD2699">
              <w:rPr>
                <w:rFonts w:ascii="Times New Roman" w:hAnsi="Times New Roman"/>
                <w:sz w:val="24"/>
              </w:rPr>
              <w:t xml:space="preserve">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60EB59A6" w14:textId="77777777" w:rsidR="00B04764" w:rsidRPr="00BD2699" w:rsidRDefault="00B04764" w:rsidP="00B04764">
            <w:pPr>
              <w:jc w:val="center"/>
              <w:rPr>
                <w:rFonts w:ascii="Times New Roman" w:eastAsia="Times New Roman" w:hAnsi="Times New Roman" w:cs="Times New Roman"/>
                <w:color w:val="000000"/>
                <w:sz w:val="24"/>
                <w:szCs w:val="24"/>
                <w:lang w:eastAsia="ru-RU"/>
              </w:rPr>
            </w:pPr>
          </w:p>
        </w:tc>
        <w:tc>
          <w:tcPr>
            <w:tcW w:w="5245"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4E076258"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22811B77"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0C54BA11"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2972C777"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335AD6EE"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3EF432DD"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4.3. Заказчик обязуется:</w:t>
            </w:r>
          </w:p>
          <w:p w14:paraId="39503049"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w:t>
            </w:r>
          </w:p>
          <w:p w14:paraId="7ECD2555" w14:textId="77777777" w:rsidR="00B04764" w:rsidRPr="00BD2699" w:rsidRDefault="00B04764" w:rsidP="00B04764">
            <w:pPr>
              <w:ind w:firstLine="446"/>
              <w:jc w:val="both"/>
              <w:rPr>
                <w:rFonts w:ascii="Times New Roman" w:hAnsi="Times New Roman"/>
                <w:sz w:val="24"/>
              </w:rPr>
            </w:pPr>
            <w:r w:rsidRPr="00BD2699">
              <w:rPr>
                <w:rFonts w:ascii="Times New Roman" w:hAnsi="Times New Roman"/>
                <w:sz w:val="24"/>
              </w:rPr>
              <w:t xml:space="preserve">5) после утверждения </w:t>
            </w:r>
            <w:r w:rsidRPr="00BD2699">
              <w:rPr>
                <w:rFonts w:ascii="Times New Roman" w:hAnsi="Times New Roman"/>
                <w:b/>
                <w:sz w:val="24"/>
              </w:rPr>
              <w:t>акта выполненных работ, сформированного</w:t>
            </w:r>
            <w:r w:rsidRPr="00BD2699">
              <w:rPr>
                <w:rFonts w:ascii="Times New Roman" w:eastAsia="Times New Roman" w:hAnsi="Times New Roman"/>
                <w:b/>
                <w:sz w:val="24"/>
                <w:szCs w:val="24"/>
                <w:lang w:eastAsia="ru-RU"/>
              </w:rPr>
              <w:t xml:space="preserve"> и подписанного посредством электронно-цифровой подписи в информационной системе уполномоченного органа </w:t>
            </w:r>
            <w:r w:rsidRPr="00BD2699">
              <w:rPr>
                <w:rFonts w:ascii="Times New Roman" w:hAnsi="Times New Roman"/>
                <w:b/>
                <w:spacing w:val="2"/>
                <w:sz w:val="24"/>
                <w:szCs w:val="24"/>
              </w:rPr>
              <w:t xml:space="preserve">по делам </w:t>
            </w:r>
            <w:r w:rsidRPr="00BD2699">
              <w:rPr>
                <w:rFonts w:ascii="Times New Roman" w:hAnsi="Times New Roman"/>
                <w:b/>
                <w:spacing w:val="2"/>
                <w:sz w:val="24"/>
                <w:szCs w:val="24"/>
                <w:lang w:val="kk-KZ"/>
              </w:rPr>
              <w:t>архитектурной</w:t>
            </w:r>
            <w:r w:rsidRPr="00BD2699">
              <w:rPr>
                <w:rFonts w:ascii="Times New Roman" w:hAnsi="Times New Roman"/>
                <w:b/>
                <w:spacing w:val="2"/>
                <w:sz w:val="24"/>
                <w:szCs w:val="24"/>
              </w:rPr>
              <w:t>,</w:t>
            </w:r>
            <w:r w:rsidRPr="00BD2699">
              <w:rPr>
                <w:rFonts w:ascii="Times New Roman" w:hAnsi="Times New Roman"/>
                <w:b/>
                <w:spacing w:val="2"/>
                <w:sz w:val="24"/>
                <w:szCs w:val="24"/>
                <w:lang w:val="kk-KZ"/>
              </w:rPr>
              <w:t xml:space="preserve"> градостроительной и строительной деятельности РК</w:t>
            </w:r>
            <w:r w:rsidRPr="00BD2699">
              <w:rPr>
                <w:rFonts w:ascii="Times New Roman" w:eastAsia="Times New Roman" w:hAnsi="Times New Roman"/>
                <w:b/>
                <w:sz w:val="24"/>
                <w:szCs w:val="24"/>
                <w:lang w:eastAsia="ru-RU"/>
              </w:rPr>
              <w:t>,</w:t>
            </w:r>
            <w:r w:rsidRPr="00BD2699">
              <w:rPr>
                <w:rFonts w:ascii="Times New Roman" w:hAnsi="Times New Roman"/>
                <w:sz w:val="24"/>
              </w:rPr>
              <w:t xml:space="preserve">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3FDB16A3" w14:textId="77777777" w:rsidR="00B04764" w:rsidRPr="00BD2699" w:rsidRDefault="00B04764" w:rsidP="00B04764">
            <w:pPr>
              <w:jc w:val="center"/>
              <w:rPr>
                <w:rFonts w:ascii="Times New Roman" w:eastAsia="Times New Roman" w:hAnsi="Times New Roman" w:cs="Times New Roman"/>
                <w:color w:val="000000"/>
                <w:sz w:val="24"/>
                <w:szCs w:val="24"/>
                <w:lang w:eastAsia="ru-RU"/>
              </w:rPr>
            </w:pPr>
          </w:p>
        </w:tc>
        <w:tc>
          <w:tcPr>
            <w:tcW w:w="3260" w:type="dxa"/>
            <w:shd w:val="clear" w:color="auto" w:fill="auto"/>
          </w:tcPr>
          <w:p w14:paraId="1F1E1C8D" w14:textId="502D71B3" w:rsidR="00B04764" w:rsidRPr="00BD2699" w:rsidRDefault="00B04764" w:rsidP="00B04764">
            <w:pPr>
              <w:ind w:firstLine="317"/>
              <w:jc w:val="both"/>
              <w:rPr>
                <w:rFonts w:ascii="Times New Roman" w:hAnsi="Times New Roman" w:cs="Times New Roman"/>
                <w:sz w:val="24"/>
                <w:szCs w:val="32"/>
              </w:rPr>
            </w:pPr>
            <w:r w:rsidRPr="00BD2699">
              <w:rPr>
                <w:rFonts w:ascii="Times New Roman" w:hAnsi="Times New Roman" w:cs="Times New Roman"/>
                <w:sz w:val="24"/>
                <w:szCs w:val="32"/>
              </w:rPr>
              <w:lastRenderedPageBreak/>
              <w:t xml:space="preserve">В соответствии с предложениями КДС ЖКХ МИИР РК, в целях масштабного использования информационной системы </w:t>
            </w:r>
            <w:proofErr w:type="spellStart"/>
            <w:r w:rsidRPr="00BD2699">
              <w:rPr>
                <w:rFonts w:ascii="Times New Roman" w:hAnsi="Times New Roman" w:cs="Times New Roman"/>
                <w:sz w:val="24"/>
                <w:szCs w:val="32"/>
              </w:rPr>
              <w:t>eQurylys</w:t>
            </w:r>
            <w:proofErr w:type="spellEnd"/>
            <w:r w:rsidRPr="00BD2699">
              <w:rPr>
                <w:rFonts w:ascii="Times New Roman" w:hAnsi="Times New Roman" w:cs="Times New Roman"/>
                <w:sz w:val="24"/>
                <w:szCs w:val="32"/>
              </w:rPr>
              <w:t xml:space="preserve"> и исключения оплаты невыполненных работ, предлагается подписание актов выполненных работ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5300432E" w14:textId="77777777" w:rsidR="00B04764" w:rsidRPr="00BD2699" w:rsidRDefault="00B04764" w:rsidP="00B04764">
            <w:pPr>
              <w:ind w:firstLine="317"/>
              <w:jc w:val="both"/>
              <w:rPr>
                <w:rFonts w:ascii="Times New Roman" w:hAnsi="Times New Roman" w:cs="Times New Roman"/>
                <w:sz w:val="24"/>
                <w:szCs w:val="32"/>
              </w:rPr>
            </w:pPr>
          </w:p>
        </w:tc>
      </w:tr>
      <w:tr w:rsidR="00B04764" w:rsidRPr="00476F8C" w14:paraId="2C87289E" w14:textId="77777777" w:rsidTr="007D6304">
        <w:trPr>
          <w:gridAfter w:val="1"/>
          <w:wAfter w:w="18" w:type="dxa"/>
          <w:trHeight w:val="407"/>
        </w:trPr>
        <w:tc>
          <w:tcPr>
            <w:tcW w:w="605" w:type="dxa"/>
            <w:shd w:val="clear" w:color="auto" w:fill="auto"/>
          </w:tcPr>
          <w:p w14:paraId="1291F91F" w14:textId="77777777" w:rsidR="00B04764" w:rsidRPr="00BD2699" w:rsidRDefault="00B04764" w:rsidP="00B04764">
            <w:pPr>
              <w:pStyle w:val="af0"/>
              <w:numPr>
                <w:ilvl w:val="0"/>
                <w:numId w:val="3"/>
              </w:numPr>
              <w:jc w:val="both"/>
              <w:rPr>
                <w:rFonts w:ascii="Times New Roman" w:hAnsi="Times New Roman" w:cs="Times New Roman"/>
                <w:sz w:val="24"/>
                <w:szCs w:val="24"/>
              </w:rPr>
            </w:pPr>
          </w:p>
        </w:tc>
        <w:tc>
          <w:tcPr>
            <w:tcW w:w="1391" w:type="dxa"/>
            <w:shd w:val="clear" w:color="auto" w:fill="auto"/>
          </w:tcPr>
          <w:p w14:paraId="78A6B1CF" w14:textId="7D004A27" w:rsidR="00B04764" w:rsidRPr="00BD2699" w:rsidRDefault="00B04764" w:rsidP="00B04764">
            <w:pPr>
              <w:pStyle w:val="ae"/>
              <w:jc w:val="center"/>
              <w:rPr>
                <w:rFonts w:ascii="Times New Roman" w:hAnsi="Times New Roman"/>
                <w:sz w:val="24"/>
                <w:szCs w:val="24"/>
              </w:rPr>
            </w:pPr>
            <w:r w:rsidRPr="00BD2699">
              <w:rPr>
                <w:rFonts w:ascii="Times New Roman" w:hAnsi="Times New Roman"/>
                <w:sz w:val="24"/>
                <w:szCs w:val="24"/>
              </w:rPr>
              <w:t>Пункт 6.3. Приложения 34 к Правилам</w:t>
            </w:r>
          </w:p>
          <w:p w14:paraId="050ED289" w14:textId="47D95BE1" w:rsidR="00B04764" w:rsidRPr="00BD2699" w:rsidRDefault="00B04764" w:rsidP="00B04764">
            <w:pPr>
              <w:pStyle w:val="3"/>
              <w:spacing w:before="0" w:beforeAutospacing="0" w:after="200" w:afterAutospacing="0"/>
              <w:outlineLvl w:val="2"/>
              <w:rPr>
                <w:sz w:val="24"/>
                <w:szCs w:val="24"/>
              </w:rPr>
            </w:pPr>
          </w:p>
        </w:tc>
        <w:tc>
          <w:tcPr>
            <w:tcW w:w="4950"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743F68CD"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4D2DE1E2"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3FA4682C"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213D48D0"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1DD796ED"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47F7B5C9" w14:textId="6418934B"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sz w:val="24"/>
              </w:rPr>
              <w:t xml:space="preserve">6.3. Сдача выполненных Подрядчиком Работ в соответствии 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подписываемой Сторонами </w:t>
            </w:r>
            <w:r w:rsidRPr="00BD2699">
              <w:rPr>
                <w:rFonts w:ascii="Times New Roman" w:hAnsi="Times New Roman"/>
                <w:b/>
                <w:sz w:val="24"/>
              </w:rPr>
              <w:t>Акт выполненных работ</w:t>
            </w:r>
            <w:r w:rsidRPr="00BD2699">
              <w:rPr>
                <w:rFonts w:ascii="Times New Roman" w:hAnsi="Times New Roman"/>
                <w:sz w:val="24"/>
              </w:rPr>
              <w:t xml:space="preserve"> и Справка о стоимости выполненных работ и затрат.</w:t>
            </w:r>
          </w:p>
          <w:p w14:paraId="24AF950F" w14:textId="7DE7FD92" w:rsidR="00B04764" w:rsidRPr="00BD2699" w:rsidRDefault="00B04764" w:rsidP="00B04764">
            <w:pPr>
              <w:pStyle w:val="ae"/>
              <w:tabs>
                <w:tab w:val="left" w:pos="211"/>
              </w:tabs>
              <w:spacing w:after="200"/>
              <w:jc w:val="both"/>
              <w:rPr>
                <w:rFonts w:ascii="Times New Roman" w:hAnsi="Times New Roman"/>
                <w:sz w:val="24"/>
              </w:rPr>
            </w:pPr>
          </w:p>
        </w:tc>
        <w:tc>
          <w:tcPr>
            <w:tcW w:w="5245" w:type="dxa"/>
            <w:shd w:val="clear" w:color="auto" w:fill="auto"/>
          </w:tcPr>
          <w:tbl>
            <w:tblPr>
              <w:tblW w:w="3179" w:type="dxa"/>
              <w:jc w:val="right"/>
              <w:shd w:val="clear" w:color="auto" w:fill="FFFFFF"/>
              <w:tblLayout w:type="fixed"/>
              <w:tblCellMar>
                <w:left w:w="0" w:type="dxa"/>
                <w:right w:w="0" w:type="dxa"/>
              </w:tblCellMar>
              <w:tblLook w:val="04A0" w:firstRow="1" w:lastRow="0" w:firstColumn="1" w:lastColumn="0" w:noHBand="0" w:noVBand="1"/>
            </w:tblPr>
            <w:tblGrid>
              <w:gridCol w:w="3179"/>
            </w:tblGrid>
            <w:tr w:rsidR="00B04764" w:rsidRPr="00BD2699" w14:paraId="1FA330C6" w14:textId="77777777" w:rsidTr="007B1393">
              <w:trPr>
                <w:trHeight w:val="432"/>
                <w:jc w:val="right"/>
              </w:trPr>
              <w:tc>
                <w:tcPr>
                  <w:tcW w:w="3179" w:type="dxa"/>
                  <w:tcBorders>
                    <w:top w:val="nil"/>
                    <w:left w:val="nil"/>
                    <w:bottom w:val="nil"/>
                    <w:right w:val="nil"/>
                  </w:tcBorders>
                  <w:shd w:val="clear" w:color="auto" w:fill="auto"/>
                  <w:tcMar>
                    <w:top w:w="45" w:type="dxa"/>
                    <w:left w:w="75" w:type="dxa"/>
                    <w:bottom w:w="45" w:type="dxa"/>
                    <w:right w:w="75" w:type="dxa"/>
                  </w:tcMar>
                  <w:hideMark/>
                </w:tcPr>
                <w:p w14:paraId="4A64FF4E" w14:textId="77777777" w:rsidR="00B04764" w:rsidRPr="00BD2699" w:rsidRDefault="00B04764" w:rsidP="00B04764">
                  <w:pPr>
                    <w:spacing w:after="0" w:line="240" w:lineRule="auto"/>
                    <w:jc w:val="center"/>
                    <w:rPr>
                      <w:rFonts w:ascii="Times New Roman" w:eastAsia="Times New Roman" w:hAnsi="Times New Roman" w:cs="Times New Roman"/>
                      <w:color w:val="000000"/>
                      <w:sz w:val="24"/>
                      <w:szCs w:val="24"/>
                      <w:lang w:eastAsia="ru-RU"/>
                    </w:rPr>
                  </w:pPr>
                  <w:r w:rsidRPr="00BD2699">
                    <w:rPr>
                      <w:rFonts w:ascii="Times New Roman" w:eastAsia="Times New Roman" w:hAnsi="Times New Roman" w:cs="Times New Roman"/>
                      <w:color w:val="000000"/>
                      <w:sz w:val="24"/>
                      <w:szCs w:val="24"/>
                      <w:lang w:eastAsia="ru-RU"/>
                    </w:rPr>
                    <w:t>Приложение 34</w:t>
                  </w:r>
                  <w:r w:rsidRPr="00BD2699">
                    <w:rPr>
                      <w:rFonts w:ascii="Times New Roman" w:eastAsia="Times New Roman" w:hAnsi="Times New Roman" w:cs="Times New Roman"/>
                      <w:color w:val="000000"/>
                      <w:sz w:val="24"/>
                      <w:szCs w:val="24"/>
                      <w:lang w:eastAsia="ru-RU"/>
                    </w:rPr>
                    <w:br/>
                    <w:t>к Правилам осуществления</w:t>
                  </w:r>
                  <w:r w:rsidRPr="00BD2699">
                    <w:rPr>
                      <w:rFonts w:ascii="Times New Roman" w:eastAsia="Times New Roman" w:hAnsi="Times New Roman" w:cs="Times New Roman"/>
                      <w:color w:val="000000"/>
                      <w:sz w:val="24"/>
                      <w:szCs w:val="24"/>
                      <w:lang w:eastAsia="ru-RU"/>
                    </w:rPr>
                    <w:br/>
                    <w:t>государственных закупок</w:t>
                  </w:r>
                </w:p>
              </w:tc>
            </w:tr>
          </w:tbl>
          <w:p w14:paraId="5292E2D0" w14:textId="77777777" w:rsidR="00B04764" w:rsidRPr="00BD2699" w:rsidRDefault="00B04764" w:rsidP="00B04764">
            <w:pPr>
              <w:shd w:val="clear" w:color="auto" w:fill="FFFFFF"/>
              <w:textAlignment w:val="baseline"/>
              <w:outlineLvl w:val="2"/>
              <w:rPr>
                <w:rFonts w:ascii="Times New Roman" w:eastAsia="Times New Roman" w:hAnsi="Times New Roman" w:cs="Times New Roman"/>
                <w:color w:val="1E1E1E"/>
                <w:sz w:val="24"/>
                <w:szCs w:val="24"/>
                <w:lang w:eastAsia="ru-RU"/>
              </w:rPr>
            </w:pPr>
          </w:p>
          <w:p w14:paraId="681418F5" w14:textId="77777777" w:rsidR="00B04764" w:rsidRPr="00BD2699" w:rsidRDefault="00B04764" w:rsidP="00B04764">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BD2699">
              <w:rPr>
                <w:rFonts w:ascii="Times New Roman" w:eastAsia="Times New Roman" w:hAnsi="Times New Roman" w:cs="Times New Roman"/>
                <w:color w:val="1E1E1E"/>
                <w:sz w:val="24"/>
                <w:szCs w:val="24"/>
                <w:lang w:eastAsia="ru-RU"/>
              </w:rPr>
              <w:t>Типовой договор о государственных закупках работ в сфере строительства (строительно-монтажные работы)</w:t>
            </w:r>
          </w:p>
          <w:p w14:paraId="6344A677" w14:textId="77777777"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cs="Times New Roman"/>
                <w:spacing w:val="2"/>
                <w:sz w:val="24"/>
                <w:szCs w:val="24"/>
              </w:rPr>
              <w:t>…</w:t>
            </w:r>
          </w:p>
          <w:p w14:paraId="482E6FDE" w14:textId="3F4F2344" w:rsidR="00B04764" w:rsidRPr="00BD2699" w:rsidRDefault="00B04764" w:rsidP="00B04764">
            <w:pPr>
              <w:ind w:firstLine="446"/>
              <w:jc w:val="both"/>
              <w:rPr>
                <w:rFonts w:ascii="Times New Roman" w:hAnsi="Times New Roman" w:cs="Times New Roman"/>
                <w:spacing w:val="2"/>
                <w:sz w:val="24"/>
                <w:szCs w:val="24"/>
              </w:rPr>
            </w:pPr>
            <w:r w:rsidRPr="00BD2699">
              <w:rPr>
                <w:rFonts w:ascii="Times New Roman" w:hAnsi="Times New Roman"/>
                <w:sz w:val="24"/>
              </w:rPr>
              <w:t xml:space="preserve">6.3. Сдача выполненных Подрядчиком Работ в соответствии 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подписываемым Сторонами </w:t>
            </w:r>
            <w:r w:rsidRPr="00BD2699">
              <w:rPr>
                <w:rFonts w:ascii="Times New Roman" w:hAnsi="Times New Roman"/>
                <w:b/>
                <w:sz w:val="24"/>
              </w:rPr>
              <w:t>Актом выполненных работ</w:t>
            </w:r>
            <w:r w:rsidRPr="00BD2699">
              <w:rPr>
                <w:rFonts w:ascii="Times New Roman" w:eastAsia="Times New Roman" w:hAnsi="Times New Roman"/>
                <w:b/>
                <w:sz w:val="24"/>
                <w:szCs w:val="24"/>
                <w:lang w:eastAsia="ru-RU"/>
              </w:rPr>
              <w:t xml:space="preserve"> сформированным и подписанным посредством электронно-цифровой подписи в информационной системе уполномоченного органа </w:t>
            </w:r>
            <w:r w:rsidRPr="00BD2699">
              <w:rPr>
                <w:rFonts w:ascii="Times New Roman" w:hAnsi="Times New Roman"/>
                <w:b/>
                <w:spacing w:val="2"/>
                <w:sz w:val="24"/>
                <w:szCs w:val="24"/>
              </w:rPr>
              <w:t xml:space="preserve">по делам </w:t>
            </w:r>
            <w:r w:rsidRPr="00BD2699">
              <w:rPr>
                <w:rFonts w:ascii="Times New Roman" w:hAnsi="Times New Roman"/>
                <w:b/>
                <w:spacing w:val="2"/>
                <w:sz w:val="24"/>
                <w:szCs w:val="24"/>
                <w:lang w:val="kk-KZ"/>
              </w:rPr>
              <w:t>архитектурной</w:t>
            </w:r>
            <w:r w:rsidRPr="00BD2699">
              <w:rPr>
                <w:rFonts w:ascii="Times New Roman" w:hAnsi="Times New Roman"/>
                <w:b/>
                <w:spacing w:val="2"/>
                <w:sz w:val="24"/>
                <w:szCs w:val="24"/>
              </w:rPr>
              <w:t>,</w:t>
            </w:r>
            <w:r w:rsidRPr="00BD2699">
              <w:rPr>
                <w:rFonts w:ascii="Times New Roman" w:hAnsi="Times New Roman"/>
                <w:b/>
                <w:spacing w:val="2"/>
                <w:sz w:val="24"/>
                <w:szCs w:val="24"/>
                <w:lang w:val="kk-KZ"/>
              </w:rPr>
              <w:t xml:space="preserve"> градостроительной и строительной деятельности Республики Казахстан</w:t>
            </w:r>
            <w:r w:rsidRPr="00BD2699">
              <w:rPr>
                <w:rFonts w:ascii="Times New Roman" w:hAnsi="Times New Roman"/>
                <w:sz w:val="24"/>
              </w:rPr>
              <w:t xml:space="preserve"> и Справка о стоимости выполненных работ и затрат.</w:t>
            </w:r>
          </w:p>
          <w:p w14:paraId="7EF61844" w14:textId="7D8DE8F1" w:rsidR="00B04764" w:rsidRPr="00BD2699" w:rsidRDefault="00B04764" w:rsidP="00B04764">
            <w:pPr>
              <w:pStyle w:val="ae"/>
              <w:tabs>
                <w:tab w:val="left" w:pos="211"/>
              </w:tabs>
              <w:spacing w:after="200"/>
              <w:jc w:val="both"/>
              <w:rPr>
                <w:rFonts w:ascii="Times New Roman" w:hAnsi="Times New Roman"/>
                <w:sz w:val="24"/>
              </w:rPr>
            </w:pPr>
          </w:p>
        </w:tc>
        <w:tc>
          <w:tcPr>
            <w:tcW w:w="3260" w:type="dxa"/>
            <w:shd w:val="clear" w:color="auto" w:fill="auto"/>
          </w:tcPr>
          <w:p w14:paraId="3F9CE946" w14:textId="15172537" w:rsidR="00B04764" w:rsidRPr="000466FD" w:rsidRDefault="00B04764" w:rsidP="00B04764">
            <w:pPr>
              <w:ind w:firstLine="317"/>
              <w:jc w:val="both"/>
              <w:rPr>
                <w:rFonts w:ascii="Times New Roman" w:hAnsi="Times New Roman" w:cs="Times New Roman"/>
                <w:sz w:val="24"/>
                <w:szCs w:val="32"/>
              </w:rPr>
            </w:pPr>
            <w:r w:rsidRPr="00BD2699">
              <w:rPr>
                <w:rFonts w:ascii="Times New Roman" w:hAnsi="Times New Roman" w:cs="Times New Roman"/>
                <w:sz w:val="24"/>
                <w:szCs w:val="32"/>
              </w:rPr>
              <w:t xml:space="preserve">В соответствии с предложениями КДС ЖКХ МИИР РК, в целях масштабного использования информационной системы </w:t>
            </w:r>
            <w:proofErr w:type="spellStart"/>
            <w:r w:rsidRPr="00BD2699">
              <w:rPr>
                <w:rFonts w:ascii="Times New Roman" w:hAnsi="Times New Roman" w:cs="Times New Roman"/>
                <w:sz w:val="24"/>
                <w:szCs w:val="32"/>
              </w:rPr>
              <w:t>eQurylys</w:t>
            </w:r>
            <w:proofErr w:type="spellEnd"/>
            <w:r w:rsidRPr="00BD2699">
              <w:rPr>
                <w:rFonts w:ascii="Times New Roman" w:hAnsi="Times New Roman" w:cs="Times New Roman"/>
                <w:sz w:val="24"/>
                <w:szCs w:val="32"/>
              </w:rPr>
              <w:t xml:space="preserve"> и исключения оплаты невыполненных работ, предлагается подписание актов выполненных работ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20DF545" w14:textId="17064D5F" w:rsidR="00B04764" w:rsidRPr="00D1359D" w:rsidRDefault="00B04764" w:rsidP="00B04764">
            <w:pPr>
              <w:pStyle w:val="ae"/>
              <w:tabs>
                <w:tab w:val="left" w:pos="211"/>
              </w:tabs>
              <w:spacing w:after="200"/>
              <w:jc w:val="both"/>
              <w:rPr>
                <w:rFonts w:ascii="Times New Roman" w:hAnsi="Times New Roman"/>
                <w:sz w:val="24"/>
                <w:szCs w:val="32"/>
              </w:rPr>
            </w:pPr>
          </w:p>
        </w:tc>
      </w:tr>
    </w:tbl>
    <w:p w14:paraId="19C70C93" w14:textId="62BB8F1A" w:rsidR="00AF71BC" w:rsidRPr="00CA7F38" w:rsidRDefault="00AF71BC" w:rsidP="00CA7F38">
      <w:pPr>
        <w:pStyle w:val="a4"/>
        <w:spacing w:before="0" w:beforeAutospacing="0" w:after="0" w:afterAutospacing="0"/>
        <w:jc w:val="both"/>
      </w:pPr>
    </w:p>
    <w:sectPr w:rsidR="00AF71BC" w:rsidRPr="00CA7F38" w:rsidSect="009A1770">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05F18" w14:textId="77777777" w:rsidR="007419EF" w:rsidRDefault="007419EF" w:rsidP="00AE650A">
      <w:pPr>
        <w:spacing w:after="0" w:line="240" w:lineRule="auto"/>
      </w:pPr>
      <w:r>
        <w:separator/>
      </w:r>
    </w:p>
  </w:endnote>
  <w:endnote w:type="continuationSeparator" w:id="0">
    <w:p w14:paraId="292986FA" w14:textId="77777777" w:rsidR="007419EF" w:rsidRDefault="007419EF"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844E7" w14:textId="77777777" w:rsidR="007419EF" w:rsidRDefault="007419EF" w:rsidP="00AE650A">
      <w:pPr>
        <w:spacing w:after="0" w:line="240" w:lineRule="auto"/>
      </w:pPr>
      <w:r>
        <w:separator/>
      </w:r>
    </w:p>
  </w:footnote>
  <w:footnote w:type="continuationSeparator" w:id="0">
    <w:p w14:paraId="64BC07CD" w14:textId="77777777" w:rsidR="007419EF" w:rsidRDefault="007419EF"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931698"/>
      <w:docPartObj>
        <w:docPartGallery w:val="Page Numbers (Top of Page)"/>
        <w:docPartUnique/>
      </w:docPartObj>
    </w:sdtPr>
    <w:sdtEndPr/>
    <w:sdtContent>
      <w:p w14:paraId="457EF495" w14:textId="706DB9A6" w:rsidR="0005703A" w:rsidRDefault="0005703A" w:rsidP="00F12757">
        <w:pPr>
          <w:pStyle w:val="af2"/>
          <w:jc w:val="center"/>
        </w:pPr>
        <w:r>
          <w:fldChar w:fldCharType="begin"/>
        </w:r>
        <w:r>
          <w:instrText>PAGE   \* MERGEFORMAT</w:instrText>
        </w:r>
        <w:r>
          <w:fldChar w:fldCharType="separate"/>
        </w:r>
        <w:r w:rsidR="00896EE3">
          <w:rPr>
            <w:noProof/>
          </w:rPr>
          <w:t>23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5"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0FB"/>
    <w:rsid w:val="000000F8"/>
    <w:rsid w:val="0000182E"/>
    <w:rsid w:val="00001D7B"/>
    <w:rsid w:val="0000330E"/>
    <w:rsid w:val="0000340D"/>
    <w:rsid w:val="00003B7F"/>
    <w:rsid w:val="00004E7A"/>
    <w:rsid w:val="00005D12"/>
    <w:rsid w:val="00007313"/>
    <w:rsid w:val="00011313"/>
    <w:rsid w:val="000113A6"/>
    <w:rsid w:val="000128C7"/>
    <w:rsid w:val="0001414A"/>
    <w:rsid w:val="000158E6"/>
    <w:rsid w:val="0002145F"/>
    <w:rsid w:val="00023A58"/>
    <w:rsid w:val="00024368"/>
    <w:rsid w:val="00024476"/>
    <w:rsid w:val="000261B1"/>
    <w:rsid w:val="0003005E"/>
    <w:rsid w:val="00033919"/>
    <w:rsid w:val="0003506D"/>
    <w:rsid w:val="00036171"/>
    <w:rsid w:val="000364B6"/>
    <w:rsid w:val="00036E77"/>
    <w:rsid w:val="00036F65"/>
    <w:rsid w:val="0004108A"/>
    <w:rsid w:val="00041666"/>
    <w:rsid w:val="00043464"/>
    <w:rsid w:val="00045155"/>
    <w:rsid w:val="000458B7"/>
    <w:rsid w:val="000466FD"/>
    <w:rsid w:val="0004795E"/>
    <w:rsid w:val="00055091"/>
    <w:rsid w:val="00055215"/>
    <w:rsid w:val="0005703A"/>
    <w:rsid w:val="00057767"/>
    <w:rsid w:val="000616C4"/>
    <w:rsid w:val="00062019"/>
    <w:rsid w:val="00065860"/>
    <w:rsid w:val="00071499"/>
    <w:rsid w:val="000722E0"/>
    <w:rsid w:val="00072FC8"/>
    <w:rsid w:val="00073A85"/>
    <w:rsid w:val="00075325"/>
    <w:rsid w:val="000756C4"/>
    <w:rsid w:val="000761CA"/>
    <w:rsid w:val="0008525B"/>
    <w:rsid w:val="000857C3"/>
    <w:rsid w:val="0008644D"/>
    <w:rsid w:val="00087392"/>
    <w:rsid w:val="0008768B"/>
    <w:rsid w:val="00087C75"/>
    <w:rsid w:val="000909D5"/>
    <w:rsid w:val="00090C51"/>
    <w:rsid w:val="00093125"/>
    <w:rsid w:val="0009404F"/>
    <w:rsid w:val="00094BF2"/>
    <w:rsid w:val="000963FE"/>
    <w:rsid w:val="000970C0"/>
    <w:rsid w:val="0009714D"/>
    <w:rsid w:val="000A0B59"/>
    <w:rsid w:val="000A14B5"/>
    <w:rsid w:val="000A28DD"/>
    <w:rsid w:val="000A2B0F"/>
    <w:rsid w:val="000A2DB6"/>
    <w:rsid w:val="000A31F0"/>
    <w:rsid w:val="000A60A3"/>
    <w:rsid w:val="000A62A2"/>
    <w:rsid w:val="000A6642"/>
    <w:rsid w:val="000A755E"/>
    <w:rsid w:val="000A7710"/>
    <w:rsid w:val="000B345B"/>
    <w:rsid w:val="000B5472"/>
    <w:rsid w:val="000B5A8C"/>
    <w:rsid w:val="000B63BD"/>
    <w:rsid w:val="000C0C4E"/>
    <w:rsid w:val="000C4E99"/>
    <w:rsid w:val="000C5C63"/>
    <w:rsid w:val="000C6D41"/>
    <w:rsid w:val="000C761B"/>
    <w:rsid w:val="000C785C"/>
    <w:rsid w:val="000D0890"/>
    <w:rsid w:val="000D264D"/>
    <w:rsid w:val="000D327B"/>
    <w:rsid w:val="000D57EA"/>
    <w:rsid w:val="000D6CDD"/>
    <w:rsid w:val="000D71D5"/>
    <w:rsid w:val="000D77A3"/>
    <w:rsid w:val="000E1126"/>
    <w:rsid w:val="000E316B"/>
    <w:rsid w:val="000E35D7"/>
    <w:rsid w:val="000E3C53"/>
    <w:rsid w:val="000E4C5E"/>
    <w:rsid w:val="000E73A2"/>
    <w:rsid w:val="000F002D"/>
    <w:rsid w:val="000F13C6"/>
    <w:rsid w:val="000F21D9"/>
    <w:rsid w:val="000F2655"/>
    <w:rsid w:val="000F5960"/>
    <w:rsid w:val="000F6BFC"/>
    <w:rsid w:val="00100E65"/>
    <w:rsid w:val="0010281D"/>
    <w:rsid w:val="00103A7E"/>
    <w:rsid w:val="00103B67"/>
    <w:rsid w:val="00104BCD"/>
    <w:rsid w:val="00105C13"/>
    <w:rsid w:val="00106B94"/>
    <w:rsid w:val="00107064"/>
    <w:rsid w:val="0011227E"/>
    <w:rsid w:val="00114A6F"/>
    <w:rsid w:val="001151C7"/>
    <w:rsid w:val="00121774"/>
    <w:rsid w:val="00121E5C"/>
    <w:rsid w:val="00122D24"/>
    <w:rsid w:val="0012380C"/>
    <w:rsid w:val="00124148"/>
    <w:rsid w:val="00124DCA"/>
    <w:rsid w:val="00125996"/>
    <w:rsid w:val="00132AD3"/>
    <w:rsid w:val="00135ECA"/>
    <w:rsid w:val="0013664F"/>
    <w:rsid w:val="001373FD"/>
    <w:rsid w:val="00137F06"/>
    <w:rsid w:val="001406E8"/>
    <w:rsid w:val="00141352"/>
    <w:rsid w:val="001441AB"/>
    <w:rsid w:val="00146EF0"/>
    <w:rsid w:val="00150B70"/>
    <w:rsid w:val="00152022"/>
    <w:rsid w:val="001532C9"/>
    <w:rsid w:val="001543F8"/>
    <w:rsid w:val="00156697"/>
    <w:rsid w:val="00157C46"/>
    <w:rsid w:val="00161A21"/>
    <w:rsid w:val="00161A9D"/>
    <w:rsid w:val="00162154"/>
    <w:rsid w:val="00162961"/>
    <w:rsid w:val="001636E0"/>
    <w:rsid w:val="00163A4F"/>
    <w:rsid w:val="001657B7"/>
    <w:rsid w:val="00166E5C"/>
    <w:rsid w:val="00174216"/>
    <w:rsid w:val="0017460F"/>
    <w:rsid w:val="00174FE6"/>
    <w:rsid w:val="0017516D"/>
    <w:rsid w:val="001760E9"/>
    <w:rsid w:val="00177E5B"/>
    <w:rsid w:val="00180529"/>
    <w:rsid w:val="00180873"/>
    <w:rsid w:val="00183019"/>
    <w:rsid w:val="00186DD4"/>
    <w:rsid w:val="00186E1A"/>
    <w:rsid w:val="001870F9"/>
    <w:rsid w:val="001877EB"/>
    <w:rsid w:val="00187A87"/>
    <w:rsid w:val="0019057F"/>
    <w:rsid w:val="00190AAB"/>
    <w:rsid w:val="00191DE6"/>
    <w:rsid w:val="00191E12"/>
    <w:rsid w:val="00193E62"/>
    <w:rsid w:val="00193E9E"/>
    <w:rsid w:val="00196EC6"/>
    <w:rsid w:val="00197BFB"/>
    <w:rsid w:val="001A4BA3"/>
    <w:rsid w:val="001A5A16"/>
    <w:rsid w:val="001A64A2"/>
    <w:rsid w:val="001A7374"/>
    <w:rsid w:val="001B681E"/>
    <w:rsid w:val="001C1A36"/>
    <w:rsid w:val="001C1F6F"/>
    <w:rsid w:val="001C33DD"/>
    <w:rsid w:val="001C372B"/>
    <w:rsid w:val="001C3B11"/>
    <w:rsid w:val="001C65B5"/>
    <w:rsid w:val="001C6B92"/>
    <w:rsid w:val="001D0998"/>
    <w:rsid w:val="001D12DB"/>
    <w:rsid w:val="001D178D"/>
    <w:rsid w:val="001D2565"/>
    <w:rsid w:val="001D3A26"/>
    <w:rsid w:val="001D3CE0"/>
    <w:rsid w:val="001D6135"/>
    <w:rsid w:val="001D6997"/>
    <w:rsid w:val="001E1363"/>
    <w:rsid w:val="001E600B"/>
    <w:rsid w:val="001E6B76"/>
    <w:rsid w:val="001E6BCA"/>
    <w:rsid w:val="001E708D"/>
    <w:rsid w:val="001E771E"/>
    <w:rsid w:val="001F0413"/>
    <w:rsid w:val="001F26D5"/>
    <w:rsid w:val="001F3265"/>
    <w:rsid w:val="001F6792"/>
    <w:rsid w:val="001F6B36"/>
    <w:rsid w:val="001F6FFE"/>
    <w:rsid w:val="001F780C"/>
    <w:rsid w:val="001F7C31"/>
    <w:rsid w:val="00200ECE"/>
    <w:rsid w:val="00203F29"/>
    <w:rsid w:val="00204127"/>
    <w:rsid w:val="002048BB"/>
    <w:rsid w:val="00205418"/>
    <w:rsid w:val="00206EA7"/>
    <w:rsid w:val="00210C7B"/>
    <w:rsid w:val="00212B69"/>
    <w:rsid w:val="002216C4"/>
    <w:rsid w:val="00222B0F"/>
    <w:rsid w:val="00227A5A"/>
    <w:rsid w:val="002306C1"/>
    <w:rsid w:val="00234594"/>
    <w:rsid w:val="00236371"/>
    <w:rsid w:val="002369CE"/>
    <w:rsid w:val="002374DD"/>
    <w:rsid w:val="002413A6"/>
    <w:rsid w:val="00242695"/>
    <w:rsid w:val="0024351B"/>
    <w:rsid w:val="00243778"/>
    <w:rsid w:val="00247489"/>
    <w:rsid w:val="00247C0A"/>
    <w:rsid w:val="00247D31"/>
    <w:rsid w:val="00250CBC"/>
    <w:rsid w:val="002516FE"/>
    <w:rsid w:val="00251C0A"/>
    <w:rsid w:val="00252B06"/>
    <w:rsid w:val="00255974"/>
    <w:rsid w:val="00255EBF"/>
    <w:rsid w:val="00256EC2"/>
    <w:rsid w:val="002575F6"/>
    <w:rsid w:val="00260659"/>
    <w:rsid w:val="0026117A"/>
    <w:rsid w:val="00264DCF"/>
    <w:rsid w:val="00265230"/>
    <w:rsid w:val="00265BFC"/>
    <w:rsid w:val="00266C95"/>
    <w:rsid w:val="002728C3"/>
    <w:rsid w:val="0027331D"/>
    <w:rsid w:val="002739FC"/>
    <w:rsid w:val="00273FF1"/>
    <w:rsid w:val="0027695A"/>
    <w:rsid w:val="00277C89"/>
    <w:rsid w:val="002800E6"/>
    <w:rsid w:val="002805DE"/>
    <w:rsid w:val="00280B22"/>
    <w:rsid w:val="00280D1A"/>
    <w:rsid w:val="00280F18"/>
    <w:rsid w:val="0028360F"/>
    <w:rsid w:val="00284BC4"/>
    <w:rsid w:val="00284E77"/>
    <w:rsid w:val="00284E81"/>
    <w:rsid w:val="002861A8"/>
    <w:rsid w:val="0028787A"/>
    <w:rsid w:val="00287BDA"/>
    <w:rsid w:val="00290D28"/>
    <w:rsid w:val="00290FF5"/>
    <w:rsid w:val="0029260A"/>
    <w:rsid w:val="00293884"/>
    <w:rsid w:val="0029517B"/>
    <w:rsid w:val="00297E5D"/>
    <w:rsid w:val="002A06DC"/>
    <w:rsid w:val="002A1003"/>
    <w:rsid w:val="002A123F"/>
    <w:rsid w:val="002A17A9"/>
    <w:rsid w:val="002A471C"/>
    <w:rsid w:val="002A555D"/>
    <w:rsid w:val="002A6035"/>
    <w:rsid w:val="002A638B"/>
    <w:rsid w:val="002A63ED"/>
    <w:rsid w:val="002A7437"/>
    <w:rsid w:val="002B1683"/>
    <w:rsid w:val="002B180F"/>
    <w:rsid w:val="002B1F25"/>
    <w:rsid w:val="002B35CD"/>
    <w:rsid w:val="002B40A7"/>
    <w:rsid w:val="002B562F"/>
    <w:rsid w:val="002B66FF"/>
    <w:rsid w:val="002B730C"/>
    <w:rsid w:val="002C0680"/>
    <w:rsid w:val="002C2482"/>
    <w:rsid w:val="002C32B5"/>
    <w:rsid w:val="002C3994"/>
    <w:rsid w:val="002C3D2A"/>
    <w:rsid w:val="002C42A7"/>
    <w:rsid w:val="002C51A4"/>
    <w:rsid w:val="002C5839"/>
    <w:rsid w:val="002C59BF"/>
    <w:rsid w:val="002C59C7"/>
    <w:rsid w:val="002C75C9"/>
    <w:rsid w:val="002D0CC7"/>
    <w:rsid w:val="002D0F47"/>
    <w:rsid w:val="002D14FE"/>
    <w:rsid w:val="002D1E9A"/>
    <w:rsid w:val="002D3913"/>
    <w:rsid w:val="002D66B3"/>
    <w:rsid w:val="002E1D87"/>
    <w:rsid w:val="002E25C8"/>
    <w:rsid w:val="002E416E"/>
    <w:rsid w:val="002E42A0"/>
    <w:rsid w:val="002E629C"/>
    <w:rsid w:val="002F08EE"/>
    <w:rsid w:val="002F1510"/>
    <w:rsid w:val="002F1AFD"/>
    <w:rsid w:val="002F1E0F"/>
    <w:rsid w:val="002F24E1"/>
    <w:rsid w:val="002F255C"/>
    <w:rsid w:val="002F7886"/>
    <w:rsid w:val="00301922"/>
    <w:rsid w:val="00305550"/>
    <w:rsid w:val="00305D52"/>
    <w:rsid w:val="00310FC1"/>
    <w:rsid w:val="0031373E"/>
    <w:rsid w:val="003137E4"/>
    <w:rsid w:val="00315250"/>
    <w:rsid w:val="00315769"/>
    <w:rsid w:val="00315B2B"/>
    <w:rsid w:val="00315C6B"/>
    <w:rsid w:val="00315F33"/>
    <w:rsid w:val="00317E11"/>
    <w:rsid w:val="00320AFF"/>
    <w:rsid w:val="00323591"/>
    <w:rsid w:val="00323FCF"/>
    <w:rsid w:val="0032653D"/>
    <w:rsid w:val="0033151A"/>
    <w:rsid w:val="00331653"/>
    <w:rsid w:val="003317D4"/>
    <w:rsid w:val="00332115"/>
    <w:rsid w:val="003347DE"/>
    <w:rsid w:val="003351F3"/>
    <w:rsid w:val="00335A4A"/>
    <w:rsid w:val="0033602C"/>
    <w:rsid w:val="00336461"/>
    <w:rsid w:val="00336485"/>
    <w:rsid w:val="00336B58"/>
    <w:rsid w:val="00336BD8"/>
    <w:rsid w:val="00337738"/>
    <w:rsid w:val="00337DB1"/>
    <w:rsid w:val="003418EB"/>
    <w:rsid w:val="00341D8F"/>
    <w:rsid w:val="00341F73"/>
    <w:rsid w:val="00342D07"/>
    <w:rsid w:val="0034629C"/>
    <w:rsid w:val="00355691"/>
    <w:rsid w:val="003575DC"/>
    <w:rsid w:val="00360083"/>
    <w:rsid w:val="0036083E"/>
    <w:rsid w:val="00360A63"/>
    <w:rsid w:val="00364D79"/>
    <w:rsid w:val="003656FE"/>
    <w:rsid w:val="00367331"/>
    <w:rsid w:val="00367393"/>
    <w:rsid w:val="00371B62"/>
    <w:rsid w:val="00372828"/>
    <w:rsid w:val="003753D3"/>
    <w:rsid w:val="00380428"/>
    <w:rsid w:val="00380C07"/>
    <w:rsid w:val="00380E84"/>
    <w:rsid w:val="00383EF0"/>
    <w:rsid w:val="00384EF1"/>
    <w:rsid w:val="003905F2"/>
    <w:rsid w:val="00390816"/>
    <w:rsid w:val="00390C2C"/>
    <w:rsid w:val="00390E2B"/>
    <w:rsid w:val="00391867"/>
    <w:rsid w:val="00391D82"/>
    <w:rsid w:val="00393247"/>
    <w:rsid w:val="00394D1B"/>
    <w:rsid w:val="00396E53"/>
    <w:rsid w:val="00397637"/>
    <w:rsid w:val="003A02E9"/>
    <w:rsid w:val="003A1A80"/>
    <w:rsid w:val="003A1D5F"/>
    <w:rsid w:val="003A3A10"/>
    <w:rsid w:val="003A3D31"/>
    <w:rsid w:val="003A571B"/>
    <w:rsid w:val="003A59F9"/>
    <w:rsid w:val="003A6E3E"/>
    <w:rsid w:val="003A7871"/>
    <w:rsid w:val="003B51DC"/>
    <w:rsid w:val="003B6BD8"/>
    <w:rsid w:val="003C00A5"/>
    <w:rsid w:val="003C0826"/>
    <w:rsid w:val="003C1547"/>
    <w:rsid w:val="003C335A"/>
    <w:rsid w:val="003C3F3B"/>
    <w:rsid w:val="003C6E44"/>
    <w:rsid w:val="003D1A54"/>
    <w:rsid w:val="003D5650"/>
    <w:rsid w:val="003E0192"/>
    <w:rsid w:val="003E0F9E"/>
    <w:rsid w:val="003E19EA"/>
    <w:rsid w:val="003E3724"/>
    <w:rsid w:val="003E4F29"/>
    <w:rsid w:val="003E5CB4"/>
    <w:rsid w:val="003E62A9"/>
    <w:rsid w:val="003E6512"/>
    <w:rsid w:val="003F2188"/>
    <w:rsid w:val="003F3F2B"/>
    <w:rsid w:val="003F43C6"/>
    <w:rsid w:val="003F48AA"/>
    <w:rsid w:val="003F5455"/>
    <w:rsid w:val="003F6EE2"/>
    <w:rsid w:val="003F798E"/>
    <w:rsid w:val="00402599"/>
    <w:rsid w:val="0040372C"/>
    <w:rsid w:val="00404824"/>
    <w:rsid w:val="0040531C"/>
    <w:rsid w:val="00406646"/>
    <w:rsid w:val="004071E7"/>
    <w:rsid w:val="00410415"/>
    <w:rsid w:val="00411EEE"/>
    <w:rsid w:val="00412E29"/>
    <w:rsid w:val="00414378"/>
    <w:rsid w:val="00416C2F"/>
    <w:rsid w:val="00416DC2"/>
    <w:rsid w:val="004202EA"/>
    <w:rsid w:val="00421D1E"/>
    <w:rsid w:val="004246CB"/>
    <w:rsid w:val="0042574A"/>
    <w:rsid w:val="00425C55"/>
    <w:rsid w:val="0042686D"/>
    <w:rsid w:val="0042784A"/>
    <w:rsid w:val="00432FF4"/>
    <w:rsid w:val="00433D3C"/>
    <w:rsid w:val="00435BD1"/>
    <w:rsid w:val="00435C2A"/>
    <w:rsid w:val="00437D1D"/>
    <w:rsid w:val="00441769"/>
    <w:rsid w:val="0044258D"/>
    <w:rsid w:val="00443505"/>
    <w:rsid w:val="00444D09"/>
    <w:rsid w:val="00445ADB"/>
    <w:rsid w:val="00446BDF"/>
    <w:rsid w:val="004475A7"/>
    <w:rsid w:val="00450A7E"/>
    <w:rsid w:val="004535E3"/>
    <w:rsid w:val="00457D48"/>
    <w:rsid w:val="00460C54"/>
    <w:rsid w:val="004620E7"/>
    <w:rsid w:val="00464739"/>
    <w:rsid w:val="0046780B"/>
    <w:rsid w:val="00467C6B"/>
    <w:rsid w:val="00467CE8"/>
    <w:rsid w:val="00467FC8"/>
    <w:rsid w:val="004733B5"/>
    <w:rsid w:val="00474979"/>
    <w:rsid w:val="00476F8C"/>
    <w:rsid w:val="00481383"/>
    <w:rsid w:val="00482572"/>
    <w:rsid w:val="004831AE"/>
    <w:rsid w:val="00484963"/>
    <w:rsid w:val="00484AFA"/>
    <w:rsid w:val="0048630B"/>
    <w:rsid w:val="00486882"/>
    <w:rsid w:val="004907C7"/>
    <w:rsid w:val="004912E1"/>
    <w:rsid w:val="00491A5D"/>
    <w:rsid w:val="0049271D"/>
    <w:rsid w:val="00494ED4"/>
    <w:rsid w:val="00496DDF"/>
    <w:rsid w:val="00496E95"/>
    <w:rsid w:val="00497608"/>
    <w:rsid w:val="00497EA3"/>
    <w:rsid w:val="004A07E1"/>
    <w:rsid w:val="004A150C"/>
    <w:rsid w:val="004A2173"/>
    <w:rsid w:val="004A35B2"/>
    <w:rsid w:val="004A3879"/>
    <w:rsid w:val="004A494D"/>
    <w:rsid w:val="004A4A90"/>
    <w:rsid w:val="004B0A67"/>
    <w:rsid w:val="004B28C6"/>
    <w:rsid w:val="004B2CF1"/>
    <w:rsid w:val="004B3060"/>
    <w:rsid w:val="004B4943"/>
    <w:rsid w:val="004B5B01"/>
    <w:rsid w:val="004B5E04"/>
    <w:rsid w:val="004B7027"/>
    <w:rsid w:val="004B7536"/>
    <w:rsid w:val="004C258D"/>
    <w:rsid w:val="004C46DA"/>
    <w:rsid w:val="004C71A8"/>
    <w:rsid w:val="004C79B8"/>
    <w:rsid w:val="004D10D3"/>
    <w:rsid w:val="004D13B6"/>
    <w:rsid w:val="004D3156"/>
    <w:rsid w:val="004D4263"/>
    <w:rsid w:val="004D6153"/>
    <w:rsid w:val="004E1D09"/>
    <w:rsid w:val="004E2E0E"/>
    <w:rsid w:val="004E38AF"/>
    <w:rsid w:val="004E4993"/>
    <w:rsid w:val="004E49BC"/>
    <w:rsid w:val="004E63AF"/>
    <w:rsid w:val="004E6A5E"/>
    <w:rsid w:val="004E774C"/>
    <w:rsid w:val="004E78AF"/>
    <w:rsid w:val="004F1CF0"/>
    <w:rsid w:val="004F616B"/>
    <w:rsid w:val="00501B3C"/>
    <w:rsid w:val="00503D64"/>
    <w:rsid w:val="00504762"/>
    <w:rsid w:val="00505A76"/>
    <w:rsid w:val="0050669A"/>
    <w:rsid w:val="0050670C"/>
    <w:rsid w:val="00510B26"/>
    <w:rsid w:val="0051228C"/>
    <w:rsid w:val="005142CB"/>
    <w:rsid w:val="005158A1"/>
    <w:rsid w:val="005178B3"/>
    <w:rsid w:val="00520924"/>
    <w:rsid w:val="00523593"/>
    <w:rsid w:val="00524E38"/>
    <w:rsid w:val="00526660"/>
    <w:rsid w:val="00527344"/>
    <w:rsid w:val="0053110C"/>
    <w:rsid w:val="00532821"/>
    <w:rsid w:val="005361B4"/>
    <w:rsid w:val="00537229"/>
    <w:rsid w:val="00537E73"/>
    <w:rsid w:val="0054037B"/>
    <w:rsid w:val="00541508"/>
    <w:rsid w:val="00541C17"/>
    <w:rsid w:val="00544ABC"/>
    <w:rsid w:val="00545ECD"/>
    <w:rsid w:val="0055018E"/>
    <w:rsid w:val="00551426"/>
    <w:rsid w:val="005548D9"/>
    <w:rsid w:val="00554A74"/>
    <w:rsid w:val="0055695D"/>
    <w:rsid w:val="00556EB1"/>
    <w:rsid w:val="005602AA"/>
    <w:rsid w:val="00562487"/>
    <w:rsid w:val="00564547"/>
    <w:rsid w:val="00564D9D"/>
    <w:rsid w:val="00570C5E"/>
    <w:rsid w:val="00570FD0"/>
    <w:rsid w:val="00575618"/>
    <w:rsid w:val="00576265"/>
    <w:rsid w:val="0057757E"/>
    <w:rsid w:val="005824E5"/>
    <w:rsid w:val="00584CA5"/>
    <w:rsid w:val="0058560C"/>
    <w:rsid w:val="00587C9B"/>
    <w:rsid w:val="00587FEC"/>
    <w:rsid w:val="005914F1"/>
    <w:rsid w:val="005927FF"/>
    <w:rsid w:val="00593DC1"/>
    <w:rsid w:val="00596D76"/>
    <w:rsid w:val="00596DFF"/>
    <w:rsid w:val="005A0353"/>
    <w:rsid w:val="005A218A"/>
    <w:rsid w:val="005A2522"/>
    <w:rsid w:val="005A2F4C"/>
    <w:rsid w:val="005A44B4"/>
    <w:rsid w:val="005A4C0F"/>
    <w:rsid w:val="005A639E"/>
    <w:rsid w:val="005A6ADF"/>
    <w:rsid w:val="005A72C0"/>
    <w:rsid w:val="005A736B"/>
    <w:rsid w:val="005A7988"/>
    <w:rsid w:val="005B0618"/>
    <w:rsid w:val="005B1078"/>
    <w:rsid w:val="005B3C7C"/>
    <w:rsid w:val="005C27EA"/>
    <w:rsid w:val="005C31D6"/>
    <w:rsid w:val="005C3366"/>
    <w:rsid w:val="005C4474"/>
    <w:rsid w:val="005C6EB8"/>
    <w:rsid w:val="005C778B"/>
    <w:rsid w:val="005C7D64"/>
    <w:rsid w:val="005C7F1B"/>
    <w:rsid w:val="005D0BC2"/>
    <w:rsid w:val="005D251E"/>
    <w:rsid w:val="005D4387"/>
    <w:rsid w:val="005D48D7"/>
    <w:rsid w:val="005D4BDC"/>
    <w:rsid w:val="005D4D00"/>
    <w:rsid w:val="005D5809"/>
    <w:rsid w:val="005D5B45"/>
    <w:rsid w:val="005E2935"/>
    <w:rsid w:val="005E2FBD"/>
    <w:rsid w:val="005E4681"/>
    <w:rsid w:val="005E5847"/>
    <w:rsid w:val="005E6AFA"/>
    <w:rsid w:val="005F0F58"/>
    <w:rsid w:val="005F15BD"/>
    <w:rsid w:val="005F3F8F"/>
    <w:rsid w:val="005F6353"/>
    <w:rsid w:val="00600BA6"/>
    <w:rsid w:val="00601D72"/>
    <w:rsid w:val="00603214"/>
    <w:rsid w:val="00603EBC"/>
    <w:rsid w:val="00605B05"/>
    <w:rsid w:val="0060600D"/>
    <w:rsid w:val="006062CD"/>
    <w:rsid w:val="00606EE6"/>
    <w:rsid w:val="00607579"/>
    <w:rsid w:val="00607DD5"/>
    <w:rsid w:val="00610C43"/>
    <w:rsid w:val="0061103D"/>
    <w:rsid w:val="00611149"/>
    <w:rsid w:val="00611553"/>
    <w:rsid w:val="00611971"/>
    <w:rsid w:val="00611C8F"/>
    <w:rsid w:val="006144F4"/>
    <w:rsid w:val="00614852"/>
    <w:rsid w:val="00615184"/>
    <w:rsid w:val="00616DEF"/>
    <w:rsid w:val="00617DD3"/>
    <w:rsid w:val="00620820"/>
    <w:rsid w:val="00620F21"/>
    <w:rsid w:val="00621731"/>
    <w:rsid w:val="006226BC"/>
    <w:rsid w:val="006229EA"/>
    <w:rsid w:val="00623179"/>
    <w:rsid w:val="00623BDA"/>
    <w:rsid w:val="0062681B"/>
    <w:rsid w:val="00630ACB"/>
    <w:rsid w:val="006366D2"/>
    <w:rsid w:val="0064304D"/>
    <w:rsid w:val="00643085"/>
    <w:rsid w:val="00643A38"/>
    <w:rsid w:val="00643A95"/>
    <w:rsid w:val="0064497E"/>
    <w:rsid w:val="00644E1E"/>
    <w:rsid w:val="0064583B"/>
    <w:rsid w:val="006470FC"/>
    <w:rsid w:val="00647C7C"/>
    <w:rsid w:val="006527A6"/>
    <w:rsid w:val="00652EB9"/>
    <w:rsid w:val="006540B0"/>
    <w:rsid w:val="0065507A"/>
    <w:rsid w:val="00656304"/>
    <w:rsid w:val="00657EF2"/>
    <w:rsid w:val="0066117C"/>
    <w:rsid w:val="00661B46"/>
    <w:rsid w:val="006626AB"/>
    <w:rsid w:val="00662791"/>
    <w:rsid w:val="00663580"/>
    <w:rsid w:val="00666B2A"/>
    <w:rsid w:val="00666C43"/>
    <w:rsid w:val="00666F88"/>
    <w:rsid w:val="00673AD4"/>
    <w:rsid w:val="00673C91"/>
    <w:rsid w:val="006749F6"/>
    <w:rsid w:val="00675234"/>
    <w:rsid w:val="0067575A"/>
    <w:rsid w:val="00676E09"/>
    <w:rsid w:val="006801CA"/>
    <w:rsid w:val="0068104F"/>
    <w:rsid w:val="0068346E"/>
    <w:rsid w:val="0068521D"/>
    <w:rsid w:val="006852EB"/>
    <w:rsid w:val="0068542F"/>
    <w:rsid w:val="006876FD"/>
    <w:rsid w:val="00687838"/>
    <w:rsid w:val="00692895"/>
    <w:rsid w:val="0069454E"/>
    <w:rsid w:val="00694F93"/>
    <w:rsid w:val="006950A0"/>
    <w:rsid w:val="00695814"/>
    <w:rsid w:val="006958AA"/>
    <w:rsid w:val="00695FE3"/>
    <w:rsid w:val="006A14F0"/>
    <w:rsid w:val="006A5720"/>
    <w:rsid w:val="006A5D7A"/>
    <w:rsid w:val="006A6231"/>
    <w:rsid w:val="006A6B5F"/>
    <w:rsid w:val="006A70AA"/>
    <w:rsid w:val="006B0292"/>
    <w:rsid w:val="006B0F2F"/>
    <w:rsid w:val="006B2E3A"/>
    <w:rsid w:val="006B3723"/>
    <w:rsid w:val="006B59D9"/>
    <w:rsid w:val="006C08B3"/>
    <w:rsid w:val="006C1C19"/>
    <w:rsid w:val="006C1E63"/>
    <w:rsid w:val="006C22F2"/>
    <w:rsid w:val="006C2414"/>
    <w:rsid w:val="006C2AEE"/>
    <w:rsid w:val="006C48F7"/>
    <w:rsid w:val="006C5070"/>
    <w:rsid w:val="006C559E"/>
    <w:rsid w:val="006C6A93"/>
    <w:rsid w:val="006C75F2"/>
    <w:rsid w:val="006D03F1"/>
    <w:rsid w:val="006D0843"/>
    <w:rsid w:val="006D1EBB"/>
    <w:rsid w:val="006D1ED1"/>
    <w:rsid w:val="006D231B"/>
    <w:rsid w:val="006D2D6D"/>
    <w:rsid w:val="006D33C8"/>
    <w:rsid w:val="006D4F93"/>
    <w:rsid w:val="006D61BE"/>
    <w:rsid w:val="006D61F1"/>
    <w:rsid w:val="006E0AF0"/>
    <w:rsid w:val="006E12D3"/>
    <w:rsid w:val="006E2656"/>
    <w:rsid w:val="006E27F1"/>
    <w:rsid w:val="006E3765"/>
    <w:rsid w:val="006E52C5"/>
    <w:rsid w:val="006F3A5E"/>
    <w:rsid w:val="006F5E73"/>
    <w:rsid w:val="006F7F7F"/>
    <w:rsid w:val="00700309"/>
    <w:rsid w:val="00701955"/>
    <w:rsid w:val="00701BEF"/>
    <w:rsid w:val="00704819"/>
    <w:rsid w:val="007067E5"/>
    <w:rsid w:val="007071A1"/>
    <w:rsid w:val="00707BE3"/>
    <w:rsid w:val="00713563"/>
    <w:rsid w:val="00715E7A"/>
    <w:rsid w:val="0071654D"/>
    <w:rsid w:val="00716845"/>
    <w:rsid w:val="00717ED9"/>
    <w:rsid w:val="00720C84"/>
    <w:rsid w:val="00722116"/>
    <w:rsid w:val="00722E71"/>
    <w:rsid w:val="00724F83"/>
    <w:rsid w:val="007264B9"/>
    <w:rsid w:val="00726C5C"/>
    <w:rsid w:val="00730B82"/>
    <w:rsid w:val="007313B6"/>
    <w:rsid w:val="00733057"/>
    <w:rsid w:val="007365D9"/>
    <w:rsid w:val="00737839"/>
    <w:rsid w:val="007419EF"/>
    <w:rsid w:val="00741B3F"/>
    <w:rsid w:val="00741B65"/>
    <w:rsid w:val="00742C54"/>
    <w:rsid w:val="007445E2"/>
    <w:rsid w:val="007471D2"/>
    <w:rsid w:val="00747B9E"/>
    <w:rsid w:val="00747E51"/>
    <w:rsid w:val="00750847"/>
    <w:rsid w:val="0075237B"/>
    <w:rsid w:val="00753A31"/>
    <w:rsid w:val="00753EB9"/>
    <w:rsid w:val="00754BAB"/>
    <w:rsid w:val="007553EC"/>
    <w:rsid w:val="00760F9A"/>
    <w:rsid w:val="0076110B"/>
    <w:rsid w:val="0076430A"/>
    <w:rsid w:val="007653FC"/>
    <w:rsid w:val="007670E7"/>
    <w:rsid w:val="007702BF"/>
    <w:rsid w:val="0077171A"/>
    <w:rsid w:val="00772A53"/>
    <w:rsid w:val="00772CEB"/>
    <w:rsid w:val="007767A4"/>
    <w:rsid w:val="00776972"/>
    <w:rsid w:val="00780A1F"/>
    <w:rsid w:val="00782EA6"/>
    <w:rsid w:val="00783BC5"/>
    <w:rsid w:val="00785D2B"/>
    <w:rsid w:val="00786641"/>
    <w:rsid w:val="00786BD4"/>
    <w:rsid w:val="00790F74"/>
    <w:rsid w:val="00790FF1"/>
    <w:rsid w:val="00791150"/>
    <w:rsid w:val="007928B1"/>
    <w:rsid w:val="007931D3"/>
    <w:rsid w:val="00793FD1"/>
    <w:rsid w:val="007940F8"/>
    <w:rsid w:val="0079412F"/>
    <w:rsid w:val="00794B39"/>
    <w:rsid w:val="00795018"/>
    <w:rsid w:val="00795A5E"/>
    <w:rsid w:val="00795E2D"/>
    <w:rsid w:val="007969E9"/>
    <w:rsid w:val="00796D35"/>
    <w:rsid w:val="00797549"/>
    <w:rsid w:val="007A0706"/>
    <w:rsid w:val="007A14A2"/>
    <w:rsid w:val="007A25AE"/>
    <w:rsid w:val="007A5AF9"/>
    <w:rsid w:val="007A69FF"/>
    <w:rsid w:val="007A6B52"/>
    <w:rsid w:val="007A737C"/>
    <w:rsid w:val="007B01EE"/>
    <w:rsid w:val="007B099D"/>
    <w:rsid w:val="007B1393"/>
    <w:rsid w:val="007B253D"/>
    <w:rsid w:val="007B2859"/>
    <w:rsid w:val="007B34AF"/>
    <w:rsid w:val="007B357E"/>
    <w:rsid w:val="007B3E3D"/>
    <w:rsid w:val="007B4C96"/>
    <w:rsid w:val="007B5554"/>
    <w:rsid w:val="007B5AFE"/>
    <w:rsid w:val="007B6BD2"/>
    <w:rsid w:val="007C0D08"/>
    <w:rsid w:val="007C36C0"/>
    <w:rsid w:val="007C4BFC"/>
    <w:rsid w:val="007C68C7"/>
    <w:rsid w:val="007C6FD7"/>
    <w:rsid w:val="007D621C"/>
    <w:rsid w:val="007D6304"/>
    <w:rsid w:val="007D65E7"/>
    <w:rsid w:val="007D7E2F"/>
    <w:rsid w:val="007E0215"/>
    <w:rsid w:val="007E1ACC"/>
    <w:rsid w:val="007E215B"/>
    <w:rsid w:val="007E3B82"/>
    <w:rsid w:val="007E6B44"/>
    <w:rsid w:val="007F0293"/>
    <w:rsid w:val="007F0EA2"/>
    <w:rsid w:val="007F164B"/>
    <w:rsid w:val="007F1BCE"/>
    <w:rsid w:val="007F2058"/>
    <w:rsid w:val="007F2A0F"/>
    <w:rsid w:val="007F31AD"/>
    <w:rsid w:val="007F45C6"/>
    <w:rsid w:val="007F4BA5"/>
    <w:rsid w:val="007F53DF"/>
    <w:rsid w:val="007F6AFF"/>
    <w:rsid w:val="007F7678"/>
    <w:rsid w:val="008002F0"/>
    <w:rsid w:val="00801073"/>
    <w:rsid w:val="008027F5"/>
    <w:rsid w:val="00804BB6"/>
    <w:rsid w:val="0080505E"/>
    <w:rsid w:val="00805315"/>
    <w:rsid w:val="008058BE"/>
    <w:rsid w:val="00806C4A"/>
    <w:rsid w:val="008073F3"/>
    <w:rsid w:val="0081007C"/>
    <w:rsid w:val="008102D2"/>
    <w:rsid w:val="0081082A"/>
    <w:rsid w:val="00812E38"/>
    <w:rsid w:val="00813033"/>
    <w:rsid w:val="00813874"/>
    <w:rsid w:val="008207E1"/>
    <w:rsid w:val="00821450"/>
    <w:rsid w:val="008244C5"/>
    <w:rsid w:val="00830DF1"/>
    <w:rsid w:val="008315B6"/>
    <w:rsid w:val="00834990"/>
    <w:rsid w:val="00835B4A"/>
    <w:rsid w:val="008360FB"/>
    <w:rsid w:val="0083784F"/>
    <w:rsid w:val="00842DE5"/>
    <w:rsid w:val="00845770"/>
    <w:rsid w:val="00847362"/>
    <w:rsid w:val="008479B3"/>
    <w:rsid w:val="008505A2"/>
    <w:rsid w:val="0085118D"/>
    <w:rsid w:val="00851C3D"/>
    <w:rsid w:val="008526AE"/>
    <w:rsid w:val="008527FB"/>
    <w:rsid w:val="00853AC3"/>
    <w:rsid w:val="00853B41"/>
    <w:rsid w:val="00853C83"/>
    <w:rsid w:val="00855B93"/>
    <w:rsid w:val="0085632A"/>
    <w:rsid w:val="00856375"/>
    <w:rsid w:val="00864A74"/>
    <w:rsid w:val="00865B4A"/>
    <w:rsid w:val="00866376"/>
    <w:rsid w:val="008719EF"/>
    <w:rsid w:val="00871E76"/>
    <w:rsid w:val="00871E98"/>
    <w:rsid w:val="00871FEC"/>
    <w:rsid w:val="00872C8A"/>
    <w:rsid w:val="00875129"/>
    <w:rsid w:val="008752C4"/>
    <w:rsid w:val="008758B7"/>
    <w:rsid w:val="00875AA9"/>
    <w:rsid w:val="00881D90"/>
    <w:rsid w:val="008822E4"/>
    <w:rsid w:val="008825A7"/>
    <w:rsid w:val="0088511F"/>
    <w:rsid w:val="00885DED"/>
    <w:rsid w:val="0089081E"/>
    <w:rsid w:val="00891602"/>
    <w:rsid w:val="00892B89"/>
    <w:rsid w:val="00893FF3"/>
    <w:rsid w:val="00894B57"/>
    <w:rsid w:val="00896EE3"/>
    <w:rsid w:val="008A137E"/>
    <w:rsid w:val="008A1773"/>
    <w:rsid w:val="008A257A"/>
    <w:rsid w:val="008A3FF8"/>
    <w:rsid w:val="008A43BC"/>
    <w:rsid w:val="008A447C"/>
    <w:rsid w:val="008A4775"/>
    <w:rsid w:val="008A4973"/>
    <w:rsid w:val="008A4BBE"/>
    <w:rsid w:val="008A4D00"/>
    <w:rsid w:val="008A78D2"/>
    <w:rsid w:val="008A7A0B"/>
    <w:rsid w:val="008B32F4"/>
    <w:rsid w:val="008B4F56"/>
    <w:rsid w:val="008D02CC"/>
    <w:rsid w:val="008D1F78"/>
    <w:rsid w:val="008D2FC3"/>
    <w:rsid w:val="008D3566"/>
    <w:rsid w:val="008D4433"/>
    <w:rsid w:val="008D62EA"/>
    <w:rsid w:val="008D7088"/>
    <w:rsid w:val="008E1DF7"/>
    <w:rsid w:val="008E303E"/>
    <w:rsid w:val="008E4198"/>
    <w:rsid w:val="008E4B7F"/>
    <w:rsid w:val="008E4C83"/>
    <w:rsid w:val="008E5E81"/>
    <w:rsid w:val="008E68C5"/>
    <w:rsid w:val="008F143F"/>
    <w:rsid w:val="008F29BB"/>
    <w:rsid w:val="008F4A26"/>
    <w:rsid w:val="008F51D7"/>
    <w:rsid w:val="008F5898"/>
    <w:rsid w:val="008F6A8F"/>
    <w:rsid w:val="008F7589"/>
    <w:rsid w:val="009015B0"/>
    <w:rsid w:val="00901AAD"/>
    <w:rsid w:val="00901B6C"/>
    <w:rsid w:val="00901B89"/>
    <w:rsid w:val="009048CA"/>
    <w:rsid w:val="0090601A"/>
    <w:rsid w:val="009062FF"/>
    <w:rsid w:val="009072E5"/>
    <w:rsid w:val="00911609"/>
    <w:rsid w:val="0091352D"/>
    <w:rsid w:val="0091393B"/>
    <w:rsid w:val="00913DF4"/>
    <w:rsid w:val="00914CF3"/>
    <w:rsid w:val="009153E6"/>
    <w:rsid w:val="0091594E"/>
    <w:rsid w:val="00915C8E"/>
    <w:rsid w:val="00917F2D"/>
    <w:rsid w:val="009202A6"/>
    <w:rsid w:val="00920E53"/>
    <w:rsid w:val="00923301"/>
    <w:rsid w:val="009238BB"/>
    <w:rsid w:val="00923992"/>
    <w:rsid w:val="00926409"/>
    <w:rsid w:val="009269F2"/>
    <w:rsid w:val="009275AC"/>
    <w:rsid w:val="00931549"/>
    <w:rsid w:val="00931857"/>
    <w:rsid w:val="00933781"/>
    <w:rsid w:val="00934976"/>
    <w:rsid w:val="00934A57"/>
    <w:rsid w:val="0093625C"/>
    <w:rsid w:val="009369A8"/>
    <w:rsid w:val="00940E93"/>
    <w:rsid w:val="00941053"/>
    <w:rsid w:val="00941424"/>
    <w:rsid w:val="00941A14"/>
    <w:rsid w:val="009448A6"/>
    <w:rsid w:val="009452CF"/>
    <w:rsid w:val="009457E1"/>
    <w:rsid w:val="009465F9"/>
    <w:rsid w:val="0094686E"/>
    <w:rsid w:val="00952674"/>
    <w:rsid w:val="0095277B"/>
    <w:rsid w:val="00953CFB"/>
    <w:rsid w:val="00955233"/>
    <w:rsid w:val="00956195"/>
    <w:rsid w:val="009619CA"/>
    <w:rsid w:val="00962031"/>
    <w:rsid w:val="00964F4E"/>
    <w:rsid w:val="00964FB7"/>
    <w:rsid w:val="009655AB"/>
    <w:rsid w:val="00966533"/>
    <w:rsid w:val="00967119"/>
    <w:rsid w:val="009676B8"/>
    <w:rsid w:val="00970C0F"/>
    <w:rsid w:val="0097368B"/>
    <w:rsid w:val="009752C4"/>
    <w:rsid w:val="00975450"/>
    <w:rsid w:val="00975C0B"/>
    <w:rsid w:val="009809F6"/>
    <w:rsid w:val="009822D9"/>
    <w:rsid w:val="009859D6"/>
    <w:rsid w:val="00990C37"/>
    <w:rsid w:val="009924C6"/>
    <w:rsid w:val="00995765"/>
    <w:rsid w:val="00997066"/>
    <w:rsid w:val="00997566"/>
    <w:rsid w:val="009A1770"/>
    <w:rsid w:val="009A2B54"/>
    <w:rsid w:val="009B0A0A"/>
    <w:rsid w:val="009B0FDC"/>
    <w:rsid w:val="009B3860"/>
    <w:rsid w:val="009B3ECF"/>
    <w:rsid w:val="009B5321"/>
    <w:rsid w:val="009B6B98"/>
    <w:rsid w:val="009C3375"/>
    <w:rsid w:val="009C4273"/>
    <w:rsid w:val="009C52D5"/>
    <w:rsid w:val="009C6B31"/>
    <w:rsid w:val="009D2824"/>
    <w:rsid w:val="009D35EF"/>
    <w:rsid w:val="009D3F91"/>
    <w:rsid w:val="009D42FE"/>
    <w:rsid w:val="009D4AEB"/>
    <w:rsid w:val="009E0B24"/>
    <w:rsid w:val="009E2487"/>
    <w:rsid w:val="009E334F"/>
    <w:rsid w:val="009E6069"/>
    <w:rsid w:val="009E6304"/>
    <w:rsid w:val="00A00AFB"/>
    <w:rsid w:val="00A01BEB"/>
    <w:rsid w:val="00A02AA4"/>
    <w:rsid w:val="00A036BE"/>
    <w:rsid w:val="00A074FB"/>
    <w:rsid w:val="00A10A47"/>
    <w:rsid w:val="00A14F86"/>
    <w:rsid w:val="00A20AA0"/>
    <w:rsid w:val="00A21310"/>
    <w:rsid w:val="00A21F16"/>
    <w:rsid w:val="00A2251D"/>
    <w:rsid w:val="00A226EE"/>
    <w:rsid w:val="00A2400A"/>
    <w:rsid w:val="00A252EC"/>
    <w:rsid w:val="00A25636"/>
    <w:rsid w:val="00A25A83"/>
    <w:rsid w:val="00A26571"/>
    <w:rsid w:val="00A26B0B"/>
    <w:rsid w:val="00A26C05"/>
    <w:rsid w:val="00A31ED0"/>
    <w:rsid w:val="00A337F1"/>
    <w:rsid w:val="00A34FAB"/>
    <w:rsid w:val="00A3575E"/>
    <w:rsid w:val="00A35865"/>
    <w:rsid w:val="00A41394"/>
    <w:rsid w:val="00A416D1"/>
    <w:rsid w:val="00A44A9D"/>
    <w:rsid w:val="00A453E2"/>
    <w:rsid w:val="00A459D1"/>
    <w:rsid w:val="00A45D18"/>
    <w:rsid w:val="00A47487"/>
    <w:rsid w:val="00A50216"/>
    <w:rsid w:val="00A51046"/>
    <w:rsid w:val="00A51CEF"/>
    <w:rsid w:val="00A553D8"/>
    <w:rsid w:val="00A5583D"/>
    <w:rsid w:val="00A5698D"/>
    <w:rsid w:val="00A56B9C"/>
    <w:rsid w:val="00A57FF7"/>
    <w:rsid w:val="00A62431"/>
    <w:rsid w:val="00A62B20"/>
    <w:rsid w:val="00A62FDD"/>
    <w:rsid w:val="00A66421"/>
    <w:rsid w:val="00A67D6B"/>
    <w:rsid w:val="00A67F41"/>
    <w:rsid w:val="00A7075B"/>
    <w:rsid w:val="00A72788"/>
    <w:rsid w:val="00A74480"/>
    <w:rsid w:val="00A76545"/>
    <w:rsid w:val="00A76DAE"/>
    <w:rsid w:val="00A77053"/>
    <w:rsid w:val="00A77A5B"/>
    <w:rsid w:val="00A81B09"/>
    <w:rsid w:val="00A81E9C"/>
    <w:rsid w:val="00A83D5B"/>
    <w:rsid w:val="00A851D5"/>
    <w:rsid w:val="00A8579C"/>
    <w:rsid w:val="00A8622F"/>
    <w:rsid w:val="00A87193"/>
    <w:rsid w:val="00A9124A"/>
    <w:rsid w:val="00A916D2"/>
    <w:rsid w:val="00A93ED5"/>
    <w:rsid w:val="00A96B28"/>
    <w:rsid w:val="00A977EE"/>
    <w:rsid w:val="00AA1796"/>
    <w:rsid w:val="00AA2EF0"/>
    <w:rsid w:val="00AA3E06"/>
    <w:rsid w:val="00AA713C"/>
    <w:rsid w:val="00AB174D"/>
    <w:rsid w:val="00AB2558"/>
    <w:rsid w:val="00AB3B56"/>
    <w:rsid w:val="00AB3DD2"/>
    <w:rsid w:val="00AB424F"/>
    <w:rsid w:val="00AB49CA"/>
    <w:rsid w:val="00AB50C2"/>
    <w:rsid w:val="00AB555B"/>
    <w:rsid w:val="00AB583D"/>
    <w:rsid w:val="00AB5F9C"/>
    <w:rsid w:val="00AB734C"/>
    <w:rsid w:val="00AB7526"/>
    <w:rsid w:val="00AC0460"/>
    <w:rsid w:val="00AC11A5"/>
    <w:rsid w:val="00AC357B"/>
    <w:rsid w:val="00AC4203"/>
    <w:rsid w:val="00AC4B59"/>
    <w:rsid w:val="00AC5CB4"/>
    <w:rsid w:val="00AC7971"/>
    <w:rsid w:val="00AD3FE1"/>
    <w:rsid w:val="00AD415F"/>
    <w:rsid w:val="00AD48E1"/>
    <w:rsid w:val="00AD5C7B"/>
    <w:rsid w:val="00AD644C"/>
    <w:rsid w:val="00AD6C87"/>
    <w:rsid w:val="00AE2536"/>
    <w:rsid w:val="00AE3BC6"/>
    <w:rsid w:val="00AE54AC"/>
    <w:rsid w:val="00AE5B2B"/>
    <w:rsid w:val="00AE650A"/>
    <w:rsid w:val="00AE7FE5"/>
    <w:rsid w:val="00AF292B"/>
    <w:rsid w:val="00AF4793"/>
    <w:rsid w:val="00AF4E03"/>
    <w:rsid w:val="00AF4EA4"/>
    <w:rsid w:val="00AF53BB"/>
    <w:rsid w:val="00AF6DA0"/>
    <w:rsid w:val="00AF71BC"/>
    <w:rsid w:val="00AF7A10"/>
    <w:rsid w:val="00B01B17"/>
    <w:rsid w:val="00B022FC"/>
    <w:rsid w:val="00B02760"/>
    <w:rsid w:val="00B042BD"/>
    <w:rsid w:val="00B042C2"/>
    <w:rsid w:val="00B04344"/>
    <w:rsid w:val="00B04764"/>
    <w:rsid w:val="00B05E9E"/>
    <w:rsid w:val="00B0765A"/>
    <w:rsid w:val="00B143EA"/>
    <w:rsid w:val="00B14CA9"/>
    <w:rsid w:val="00B15B09"/>
    <w:rsid w:val="00B17314"/>
    <w:rsid w:val="00B174EE"/>
    <w:rsid w:val="00B20215"/>
    <w:rsid w:val="00B210ED"/>
    <w:rsid w:val="00B211C8"/>
    <w:rsid w:val="00B216BC"/>
    <w:rsid w:val="00B25B88"/>
    <w:rsid w:val="00B303D9"/>
    <w:rsid w:val="00B315E8"/>
    <w:rsid w:val="00B316DC"/>
    <w:rsid w:val="00B318DF"/>
    <w:rsid w:val="00B32D61"/>
    <w:rsid w:val="00B351D4"/>
    <w:rsid w:val="00B3543F"/>
    <w:rsid w:val="00B45D92"/>
    <w:rsid w:val="00B46C77"/>
    <w:rsid w:val="00B516C0"/>
    <w:rsid w:val="00B53B21"/>
    <w:rsid w:val="00B53ED9"/>
    <w:rsid w:val="00B5611D"/>
    <w:rsid w:val="00B57D01"/>
    <w:rsid w:val="00B61963"/>
    <w:rsid w:val="00B626C1"/>
    <w:rsid w:val="00B63ED5"/>
    <w:rsid w:val="00B647A0"/>
    <w:rsid w:val="00B66DA1"/>
    <w:rsid w:val="00B71E71"/>
    <w:rsid w:val="00B731A9"/>
    <w:rsid w:val="00B75C33"/>
    <w:rsid w:val="00B75DC8"/>
    <w:rsid w:val="00B76407"/>
    <w:rsid w:val="00B77954"/>
    <w:rsid w:val="00B80152"/>
    <w:rsid w:val="00B80806"/>
    <w:rsid w:val="00B81B3C"/>
    <w:rsid w:val="00B83915"/>
    <w:rsid w:val="00B85558"/>
    <w:rsid w:val="00B85A9A"/>
    <w:rsid w:val="00B86A15"/>
    <w:rsid w:val="00B91157"/>
    <w:rsid w:val="00B92870"/>
    <w:rsid w:val="00B96BC0"/>
    <w:rsid w:val="00B96FF5"/>
    <w:rsid w:val="00B97F79"/>
    <w:rsid w:val="00BA127C"/>
    <w:rsid w:val="00BA2301"/>
    <w:rsid w:val="00BA2969"/>
    <w:rsid w:val="00BA432F"/>
    <w:rsid w:val="00BA516B"/>
    <w:rsid w:val="00BA55D5"/>
    <w:rsid w:val="00BA560C"/>
    <w:rsid w:val="00BA5AC4"/>
    <w:rsid w:val="00BA788B"/>
    <w:rsid w:val="00BA7DCB"/>
    <w:rsid w:val="00BB2CE0"/>
    <w:rsid w:val="00BB4A4E"/>
    <w:rsid w:val="00BB62AC"/>
    <w:rsid w:val="00BB72EA"/>
    <w:rsid w:val="00BB7C35"/>
    <w:rsid w:val="00BC0EA7"/>
    <w:rsid w:val="00BC21C6"/>
    <w:rsid w:val="00BC2CA2"/>
    <w:rsid w:val="00BC35EA"/>
    <w:rsid w:val="00BC5FE2"/>
    <w:rsid w:val="00BC65F3"/>
    <w:rsid w:val="00BD2699"/>
    <w:rsid w:val="00BD28F1"/>
    <w:rsid w:val="00BD4147"/>
    <w:rsid w:val="00BD42AB"/>
    <w:rsid w:val="00BD4F0A"/>
    <w:rsid w:val="00BD66FD"/>
    <w:rsid w:val="00BD709E"/>
    <w:rsid w:val="00BE1D00"/>
    <w:rsid w:val="00BE26A6"/>
    <w:rsid w:val="00BE2DF6"/>
    <w:rsid w:val="00BE3237"/>
    <w:rsid w:val="00BE47EE"/>
    <w:rsid w:val="00BE7645"/>
    <w:rsid w:val="00BF155D"/>
    <w:rsid w:val="00BF3BD1"/>
    <w:rsid w:val="00BF4138"/>
    <w:rsid w:val="00BF632B"/>
    <w:rsid w:val="00BF6342"/>
    <w:rsid w:val="00BF7A2D"/>
    <w:rsid w:val="00BF7DC5"/>
    <w:rsid w:val="00C01A62"/>
    <w:rsid w:val="00C046D9"/>
    <w:rsid w:val="00C06DCC"/>
    <w:rsid w:val="00C070F7"/>
    <w:rsid w:val="00C108A3"/>
    <w:rsid w:val="00C11570"/>
    <w:rsid w:val="00C11930"/>
    <w:rsid w:val="00C17F62"/>
    <w:rsid w:val="00C20A61"/>
    <w:rsid w:val="00C23DF8"/>
    <w:rsid w:val="00C23E67"/>
    <w:rsid w:val="00C24239"/>
    <w:rsid w:val="00C25B8D"/>
    <w:rsid w:val="00C27644"/>
    <w:rsid w:val="00C2769D"/>
    <w:rsid w:val="00C315C0"/>
    <w:rsid w:val="00C3401B"/>
    <w:rsid w:val="00C34222"/>
    <w:rsid w:val="00C34985"/>
    <w:rsid w:val="00C36EDC"/>
    <w:rsid w:val="00C371F3"/>
    <w:rsid w:val="00C3721D"/>
    <w:rsid w:val="00C37D1A"/>
    <w:rsid w:val="00C43AE7"/>
    <w:rsid w:val="00C46ABD"/>
    <w:rsid w:val="00C50A49"/>
    <w:rsid w:val="00C51DEF"/>
    <w:rsid w:val="00C5287E"/>
    <w:rsid w:val="00C545E5"/>
    <w:rsid w:val="00C54DB1"/>
    <w:rsid w:val="00C56378"/>
    <w:rsid w:val="00C56D0F"/>
    <w:rsid w:val="00C57489"/>
    <w:rsid w:val="00C65AF5"/>
    <w:rsid w:val="00C66922"/>
    <w:rsid w:val="00C70638"/>
    <w:rsid w:val="00C71D59"/>
    <w:rsid w:val="00C720EC"/>
    <w:rsid w:val="00C738E4"/>
    <w:rsid w:val="00C7435B"/>
    <w:rsid w:val="00C744A5"/>
    <w:rsid w:val="00C754A9"/>
    <w:rsid w:val="00C75A0C"/>
    <w:rsid w:val="00C80336"/>
    <w:rsid w:val="00C80B0D"/>
    <w:rsid w:val="00C824D4"/>
    <w:rsid w:val="00C91FC9"/>
    <w:rsid w:val="00C95213"/>
    <w:rsid w:val="00C959A3"/>
    <w:rsid w:val="00C95FFB"/>
    <w:rsid w:val="00C965CE"/>
    <w:rsid w:val="00C972C0"/>
    <w:rsid w:val="00C97661"/>
    <w:rsid w:val="00CA206F"/>
    <w:rsid w:val="00CA2792"/>
    <w:rsid w:val="00CA653C"/>
    <w:rsid w:val="00CA7F38"/>
    <w:rsid w:val="00CB2598"/>
    <w:rsid w:val="00CB3628"/>
    <w:rsid w:val="00CB4278"/>
    <w:rsid w:val="00CB48A9"/>
    <w:rsid w:val="00CB566D"/>
    <w:rsid w:val="00CB7035"/>
    <w:rsid w:val="00CB748B"/>
    <w:rsid w:val="00CC1ADD"/>
    <w:rsid w:val="00CC2F7D"/>
    <w:rsid w:val="00CC5B2E"/>
    <w:rsid w:val="00CD1730"/>
    <w:rsid w:val="00CD1C11"/>
    <w:rsid w:val="00CD28FE"/>
    <w:rsid w:val="00CD2FE7"/>
    <w:rsid w:val="00CD416A"/>
    <w:rsid w:val="00CD5472"/>
    <w:rsid w:val="00CD561B"/>
    <w:rsid w:val="00CD581B"/>
    <w:rsid w:val="00CD71A3"/>
    <w:rsid w:val="00CD764B"/>
    <w:rsid w:val="00CD7EBA"/>
    <w:rsid w:val="00CE1979"/>
    <w:rsid w:val="00CE2414"/>
    <w:rsid w:val="00CE2AFF"/>
    <w:rsid w:val="00CE33C5"/>
    <w:rsid w:val="00CE76FC"/>
    <w:rsid w:val="00CE7CEC"/>
    <w:rsid w:val="00CF02B0"/>
    <w:rsid w:val="00CF0833"/>
    <w:rsid w:val="00CF11E6"/>
    <w:rsid w:val="00CF5209"/>
    <w:rsid w:val="00CF6620"/>
    <w:rsid w:val="00CF7191"/>
    <w:rsid w:val="00CF71AA"/>
    <w:rsid w:val="00D00153"/>
    <w:rsid w:val="00D01B67"/>
    <w:rsid w:val="00D036D8"/>
    <w:rsid w:val="00D05312"/>
    <w:rsid w:val="00D0636C"/>
    <w:rsid w:val="00D063E0"/>
    <w:rsid w:val="00D07927"/>
    <w:rsid w:val="00D10575"/>
    <w:rsid w:val="00D113E3"/>
    <w:rsid w:val="00D119A3"/>
    <w:rsid w:val="00D122ED"/>
    <w:rsid w:val="00D12C1B"/>
    <w:rsid w:val="00D134CC"/>
    <w:rsid w:val="00D161F3"/>
    <w:rsid w:val="00D16C5E"/>
    <w:rsid w:val="00D2219A"/>
    <w:rsid w:val="00D236DC"/>
    <w:rsid w:val="00D23922"/>
    <w:rsid w:val="00D24581"/>
    <w:rsid w:val="00D245CC"/>
    <w:rsid w:val="00D257A3"/>
    <w:rsid w:val="00D26247"/>
    <w:rsid w:val="00D268F5"/>
    <w:rsid w:val="00D31C5B"/>
    <w:rsid w:val="00D3234D"/>
    <w:rsid w:val="00D32DD6"/>
    <w:rsid w:val="00D33553"/>
    <w:rsid w:val="00D33E34"/>
    <w:rsid w:val="00D34946"/>
    <w:rsid w:val="00D40258"/>
    <w:rsid w:val="00D42148"/>
    <w:rsid w:val="00D44C58"/>
    <w:rsid w:val="00D505E4"/>
    <w:rsid w:val="00D52A14"/>
    <w:rsid w:val="00D52BAB"/>
    <w:rsid w:val="00D55FFF"/>
    <w:rsid w:val="00D5672D"/>
    <w:rsid w:val="00D576FE"/>
    <w:rsid w:val="00D62772"/>
    <w:rsid w:val="00D65B5C"/>
    <w:rsid w:val="00D67D79"/>
    <w:rsid w:val="00D715D0"/>
    <w:rsid w:val="00D72316"/>
    <w:rsid w:val="00D74878"/>
    <w:rsid w:val="00D767CB"/>
    <w:rsid w:val="00D8034A"/>
    <w:rsid w:val="00D8088C"/>
    <w:rsid w:val="00D82000"/>
    <w:rsid w:val="00D85EF4"/>
    <w:rsid w:val="00D86330"/>
    <w:rsid w:val="00D91349"/>
    <w:rsid w:val="00D9184B"/>
    <w:rsid w:val="00D921C5"/>
    <w:rsid w:val="00D92584"/>
    <w:rsid w:val="00D92744"/>
    <w:rsid w:val="00D93817"/>
    <w:rsid w:val="00D948C9"/>
    <w:rsid w:val="00D94D81"/>
    <w:rsid w:val="00D97393"/>
    <w:rsid w:val="00DA11D3"/>
    <w:rsid w:val="00DA2FBE"/>
    <w:rsid w:val="00DA41CF"/>
    <w:rsid w:val="00DA4C13"/>
    <w:rsid w:val="00DA6C3F"/>
    <w:rsid w:val="00DA77D7"/>
    <w:rsid w:val="00DA7F80"/>
    <w:rsid w:val="00DB1F30"/>
    <w:rsid w:val="00DB23A0"/>
    <w:rsid w:val="00DB2D40"/>
    <w:rsid w:val="00DB2E47"/>
    <w:rsid w:val="00DB35CF"/>
    <w:rsid w:val="00DB3614"/>
    <w:rsid w:val="00DC219A"/>
    <w:rsid w:val="00DC403D"/>
    <w:rsid w:val="00DC410F"/>
    <w:rsid w:val="00DC4679"/>
    <w:rsid w:val="00DC4A42"/>
    <w:rsid w:val="00DC5C87"/>
    <w:rsid w:val="00DC6124"/>
    <w:rsid w:val="00DD14BD"/>
    <w:rsid w:val="00DD377E"/>
    <w:rsid w:val="00DD42AD"/>
    <w:rsid w:val="00DD5A19"/>
    <w:rsid w:val="00DE065B"/>
    <w:rsid w:val="00DE1180"/>
    <w:rsid w:val="00DE13F8"/>
    <w:rsid w:val="00DE2227"/>
    <w:rsid w:val="00DE3A95"/>
    <w:rsid w:val="00DE3B5B"/>
    <w:rsid w:val="00DE4635"/>
    <w:rsid w:val="00DE483D"/>
    <w:rsid w:val="00DE6B95"/>
    <w:rsid w:val="00DE726B"/>
    <w:rsid w:val="00DE7643"/>
    <w:rsid w:val="00DE7C86"/>
    <w:rsid w:val="00DF0159"/>
    <w:rsid w:val="00DF01B9"/>
    <w:rsid w:val="00DF17CA"/>
    <w:rsid w:val="00DF349E"/>
    <w:rsid w:val="00DF411F"/>
    <w:rsid w:val="00DF4209"/>
    <w:rsid w:val="00DF498F"/>
    <w:rsid w:val="00E01DE9"/>
    <w:rsid w:val="00E034C9"/>
    <w:rsid w:val="00E048FC"/>
    <w:rsid w:val="00E05AA4"/>
    <w:rsid w:val="00E0737A"/>
    <w:rsid w:val="00E0787D"/>
    <w:rsid w:val="00E1044D"/>
    <w:rsid w:val="00E11094"/>
    <w:rsid w:val="00E1373D"/>
    <w:rsid w:val="00E1449D"/>
    <w:rsid w:val="00E15763"/>
    <w:rsid w:val="00E15AB1"/>
    <w:rsid w:val="00E16278"/>
    <w:rsid w:val="00E2010B"/>
    <w:rsid w:val="00E2038D"/>
    <w:rsid w:val="00E210E5"/>
    <w:rsid w:val="00E23C73"/>
    <w:rsid w:val="00E2566E"/>
    <w:rsid w:val="00E27B0F"/>
    <w:rsid w:val="00E3134B"/>
    <w:rsid w:val="00E3280D"/>
    <w:rsid w:val="00E33CE0"/>
    <w:rsid w:val="00E346FC"/>
    <w:rsid w:val="00E3492E"/>
    <w:rsid w:val="00E358D8"/>
    <w:rsid w:val="00E37DA7"/>
    <w:rsid w:val="00E41B0B"/>
    <w:rsid w:val="00E42B51"/>
    <w:rsid w:val="00E45FE2"/>
    <w:rsid w:val="00E467DA"/>
    <w:rsid w:val="00E5185D"/>
    <w:rsid w:val="00E534D1"/>
    <w:rsid w:val="00E537A8"/>
    <w:rsid w:val="00E55EEE"/>
    <w:rsid w:val="00E60669"/>
    <w:rsid w:val="00E62108"/>
    <w:rsid w:val="00E62861"/>
    <w:rsid w:val="00E6469E"/>
    <w:rsid w:val="00E65CBC"/>
    <w:rsid w:val="00E65D5A"/>
    <w:rsid w:val="00E6744B"/>
    <w:rsid w:val="00E67861"/>
    <w:rsid w:val="00E6792F"/>
    <w:rsid w:val="00E67F26"/>
    <w:rsid w:val="00E703F7"/>
    <w:rsid w:val="00E706CA"/>
    <w:rsid w:val="00E71136"/>
    <w:rsid w:val="00E71A15"/>
    <w:rsid w:val="00E728A9"/>
    <w:rsid w:val="00E83BB8"/>
    <w:rsid w:val="00E84741"/>
    <w:rsid w:val="00E8476F"/>
    <w:rsid w:val="00E85A17"/>
    <w:rsid w:val="00E868E5"/>
    <w:rsid w:val="00E86A19"/>
    <w:rsid w:val="00E91CEE"/>
    <w:rsid w:val="00E92B61"/>
    <w:rsid w:val="00E95653"/>
    <w:rsid w:val="00E95668"/>
    <w:rsid w:val="00E96B37"/>
    <w:rsid w:val="00E97B6D"/>
    <w:rsid w:val="00EA0516"/>
    <w:rsid w:val="00EA37E5"/>
    <w:rsid w:val="00EA440E"/>
    <w:rsid w:val="00EA5649"/>
    <w:rsid w:val="00EA5FD0"/>
    <w:rsid w:val="00EA6B53"/>
    <w:rsid w:val="00EA7594"/>
    <w:rsid w:val="00EB06C8"/>
    <w:rsid w:val="00EB0762"/>
    <w:rsid w:val="00EB16CF"/>
    <w:rsid w:val="00EB414F"/>
    <w:rsid w:val="00EB4EED"/>
    <w:rsid w:val="00EB531C"/>
    <w:rsid w:val="00EB532B"/>
    <w:rsid w:val="00EC0279"/>
    <w:rsid w:val="00EC0AED"/>
    <w:rsid w:val="00EC1DAD"/>
    <w:rsid w:val="00EC3566"/>
    <w:rsid w:val="00EC43A1"/>
    <w:rsid w:val="00EC5957"/>
    <w:rsid w:val="00EC6B77"/>
    <w:rsid w:val="00EC6BBB"/>
    <w:rsid w:val="00EC6DE3"/>
    <w:rsid w:val="00ED033C"/>
    <w:rsid w:val="00ED1A52"/>
    <w:rsid w:val="00ED3DE7"/>
    <w:rsid w:val="00ED41EF"/>
    <w:rsid w:val="00ED4989"/>
    <w:rsid w:val="00ED7565"/>
    <w:rsid w:val="00ED78DC"/>
    <w:rsid w:val="00EE1DC8"/>
    <w:rsid w:val="00EE2E57"/>
    <w:rsid w:val="00EE3D05"/>
    <w:rsid w:val="00EE4AFA"/>
    <w:rsid w:val="00EE4E7A"/>
    <w:rsid w:val="00EE76DE"/>
    <w:rsid w:val="00EE7A52"/>
    <w:rsid w:val="00EF1BD5"/>
    <w:rsid w:val="00EF546A"/>
    <w:rsid w:val="00EF69C3"/>
    <w:rsid w:val="00EF6A65"/>
    <w:rsid w:val="00EF7931"/>
    <w:rsid w:val="00EF7FEC"/>
    <w:rsid w:val="00F02BA1"/>
    <w:rsid w:val="00F0444E"/>
    <w:rsid w:val="00F0493C"/>
    <w:rsid w:val="00F04D0C"/>
    <w:rsid w:val="00F07AD2"/>
    <w:rsid w:val="00F10021"/>
    <w:rsid w:val="00F115EC"/>
    <w:rsid w:val="00F123CB"/>
    <w:rsid w:val="00F12757"/>
    <w:rsid w:val="00F128AC"/>
    <w:rsid w:val="00F159ED"/>
    <w:rsid w:val="00F17906"/>
    <w:rsid w:val="00F23165"/>
    <w:rsid w:val="00F23852"/>
    <w:rsid w:val="00F25E76"/>
    <w:rsid w:val="00F3046F"/>
    <w:rsid w:val="00F33B63"/>
    <w:rsid w:val="00F344D9"/>
    <w:rsid w:val="00F34EDC"/>
    <w:rsid w:val="00F353D7"/>
    <w:rsid w:val="00F3690B"/>
    <w:rsid w:val="00F36A0B"/>
    <w:rsid w:val="00F411FF"/>
    <w:rsid w:val="00F417B6"/>
    <w:rsid w:val="00F41B0E"/>
    <w:rsid w:val="00F41CD7"/>
    <w:rsid w:val="00F43EDA"/>
    <w:rsid w:val="00F44E1A"/>
    <w:rsid w:val="00F47A2D"/>
    <w:rsid w:val="00F50EE1"/>
    <w:rsid w:val="00F51E4F"/>
    <w:rsid w:val="00F54232"/>
    <w:rsid w:val="00F55479"/>
    <w:rsid w:val="00F56804"/>
    <w:rsid w:val="00F56F0F"/>
    <w:rsid w:val="00F624D1"/>
    <w:rsid w:val="00F62B91"/>
    <w:rsid w:val="00F64996"/>
    <w:rsid w:val="00F67F3C"/>
    <w:rsid w:val="00F73003"/>
    <w:rsid w:val="00F73D42"/>
    <w:rsid w:val="00F75CCA"/>
    <w:rsid w:val="00F7697E"/>
    <w:rsid w:val="00F776F0"/>
    <w:rsid w:val="00F77B64"/>
    <w:rsid w:val="00F81BC4"/>
    <w:rsid w:val="00F81CD9"/>
    <w:rsid w:val="00F8249C"/>
    <w:rsid w:val="00F8259A"/>
    <w:rsid w:val="00F870DF"/>
    <w:rsid w:val="00F9048C"/>
    <w:rsid w:val="00F91178"/>
    <w:rsid w:val="00F91F4F"/>
    <w:rsid w:val="00F9267D"/>
    <w:rsid w:val="00F94688"/>
    <w:rsid w:val="00FA192C"/>
    <w:rsid w:val="00FA2658"/>
    <w:rsid w:val="00FA6736"/>
    <w:rsid w:val="00FB0B56"/>
    <w:rsid w:val="00FB10DB"/>
    <w:rsid w:val="00FB1397"/>
    <w:rsid w:val="00FB166E"/>
    <w:rsid w:val="00FB1BE0"/>
    <w:rsid w:val="00FB2150"/>
    <w:rsid w:val="00FB278A"/>
    <w:rsid w:val="00FB2A54"/>
    <w:rsid w:val="00FB2BBC"/>
    <w:rsid w:val="00FB3BFC"/>
    <w:rsid w:val="00FB48E1"/>
    <w:rsid w:val="00FB538C"/>
    <w:rsid w:val="00FB7B0E"/>
    <w:rsid w:val="00FC031B"/>
    <w:rsid w:val="00FC24A9"/>
    <w:rsid w:val="00FC2CA9"/>
    <w:rsid w:val="00FC5CBE"/>
    <w:rsid w:val="00FC7930"/>
    <w:rsid w:val="00FD1565"/>
    <w:rsid w:val="00FD1929"/>
    <w:rsid w:val="00FD26E1"/>
    <w:rsid w:val="00FD2A57"/>
    <w:rsid w:val="00FD34B1"/>
    <w:rsid w:val="00FD4D33"/>
    <w:rsid w:val="00FD61BE"/>
    <w:rsid w:val="00FD6A2A"/>
    <w:rsid w:val="00FD6F7B"/>
    <w:rsid w:val="00FD7A3D"/>
    <w:rsid w:val="00FE06BD"/>
    <w:rsid w:val="00FE081E"/>
    <w:rsid w:val="00FE1780"/>
    <w:rsid w:val="00FE2C8B"/>
    <w:rsid w:val="00FE2E1E"/>
    <w:rsid w:val="00FE3E3F"/>
    <w:rsid w:val="00FE4D10"/>
    <w:rsid w:val="00FE53F6"/>
    <w:rsid w:val="00FE66E5"/>
    <w:rsid w:val="00FE6756"/>
    <w:rsid w:val="00FF0097"/>
    <w:rsid w:val="00FF0F68"/>
    <w:rsid w:val="00FF2E1B"/>
    <w:rsid w:val="00FF43F9"/>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203"/>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qFormat/>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34"/>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61466576">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032879886">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360931180">
      <w:bodyDiv w:val="1"/>
      <w:marLeft w:val="0"/>
      <w:marRight w:val="0"/>
      <w:marTop w:val="0"/>
      <w:marBottom w:val="0"/>
      <w:divBdr>
        <w:top w:val="none" w:sz="0" w:space="0" w:color="auto"/>
        <w:left w:val="none" w:sz="0" w:space="0" w:color="auto"/>
        <w:bottom w:val="none" w:sz="0" w:space="0" w:color="auto"/>
        <w:right w:val="none" w:sz="0" w:space="0" w:color="auto"/>
      </w:divBdr>
    </w:div>
    <w:div w:id="1364210297">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CDC88-F2F1-431B-B713-02B7EB5B1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28</Pages>
  <Words>8666</Words>
  <Characters>49400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Букенов Жампоз Болатбекулы</cp:lastModifiedBy>
  <cp:revision>23</cp:revision>
  <cp:lastPrinted>2023-06-30T12:37:00Z</cp:lastPrinted>
  <dcterms:created xsi:type="dcterms:W3CDTF">2023-06-27T10:57:00Z</dcterms:created>
  <dcterms:modified xsi:type="dcterms:W3CDTF">2023-08-02T05:14:00Z</dcterms:modified>
</cp:coreProperties>
</file>